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D09" w14:textId="6D89D9F4" w:rsidR="00EF7C29" w:rsidRDefault="00EF7C29">
      <w:pPr>
        <w:spacing w:before="39"/>
        <w:ind w:left="100"/>
        <w:rPr>
          <w:rFonts w:ascii="Calibri"/>
          <w:i/>
          <w:sz w:val="16"/>
        </w:rPr>
      </w:pPr>
    </w:p>
    <w:p w14:paraId="1A6E1110" w14:textId="77777777" w:rsidR="00EF7C29" w:rsidRDefault="00EF7C29">
      <w:pPr>
        <w:pStyle w:val="BodyText"/>
        <w:rPr>
          <w:rFonts w:ascii="Calibri"/>
          <w:i/>
          <w:sz w:val="20"/>
        </w:rPr>
      </w:pPr>
    </w:p>
    <w:p w14:paraId="0B914E89" w14:textId="77777777" w:rsidR="00EF7C29" w:rsidRDefault="00EF7C29">
      <w:pPr>
        <w:pStyle w:val="BodyText"/>
        <w:rPr>
          <w:rFonts w:ascii="Calibri"/>
          <w:i/>
          <w:sz w:val="20"/>
        </w:rPr>
      </w:pPr>
    </w:p>
    <w:p w14:paraId="607E8854" w14:textId="77777777" w:rsidR="00EF7C29" w:rsidRDefault="00EF7C29">
      <w:pPr>
        <w:pStyle w:val="BodyText"/>
        <w:rPr>
          <w:rFonts w:ascii="Calibri"/>
          <w:i/>
          <w:sz w:val="20"/>
        </w:rPr>
      </w:pPr>
    </w:p>
    <w:p w14:paraId="7140DEF2" w14:textId="77777777" w:rsidR="00EF7C29" w:rsidRDefault="00EF7C29">
      <w:pPr>
        <w:pStyle w:val="BodyText"/>
        <w:rPr>
          <w:rFonts w:ascii="Calibri"/>
          <w:i/>
          <w:sz w:val="20"/>
        </w:rPr>
      </w:pPr>
    </w:p>
    <w:p w14:paraId="60B5E159" w14:textId="77777777" w:rsidR="00EF7C29" w:rsidRDefault="00EF7C29">
      <w:pPr>
        <w:pStyle w:val="BodyText"/>
        <w:rPr>
          <w:rFonts w:ascii="Calibri"/>
          <w:i/>
          <w:sz w:val="20"/>
        </w:rPr>
      </w:pPr>
    </w:p>
    <w:p w14:paraId="3C9301DA" w14:textId="77777777" w:rsidR="00EF7C29" w:rsidRDefault="00EF7C29">
      <w:pPr>
        <w:pStyle w:val="BodyText"/>
        <w:rPr>
          <w:rFonts w:ascii="Calibri"/>
          <w:i/>
          <w:sz w:val="20"/>
        </w:rPr>
      </w:pPr>
    </w:p>
    <w:p w14:paraId="6EBADEF6" w14:textId="77777777" w:rsidR="00EF7C29" w:rsidRDefault="00EF7C29">
      <w:pPr>
        <w:pStyle w:val="BodyText"/>
        <w:rPr>
          <w:rFonts w:ascii="Calibri"/>
          <w:i/>
          <w:sz w:val="20"/>
        </w:rPr>
      </w:pPr>
    </w:p>
    <w:p w14:paraId="12086A3F" w14:textId="77777777" w:rsidR="00EF7C29" w:rsidRDefault="00EF7C29">
      <w:pPr>
        <w:pStyle w:val="BodyText"/>
        <w:rPr>
          <w:rFonts w:ascii="Calibri"/>
          <w:i/>
          <w:sz w:val="20"/>
        </w:rPr>
      </w:pPr>
    </w:p>
    <w:p w14:paraId="67E0B57F" w14:textId="77777777" w:rsidR="00EF7C29" w:rsidRDefault="00EF7C29">
      <w:pPr>
        <w:pStyle w:val="BodyText"/>
        <w:rPr>
          <w:rFonts w:ascii="Calibri"/>
          <w:i/>
          <w:sz w:val="20"/>
        </w:rPr>
      </w:pPr>
    </w:p>
    <w:p w14:paraId="329FB556" w14:textId="77777777" w:rsidR="00EF7C29" w:rsidRDefault="00EF7C29">
      <w:pPr>
        <w:pStyle w:val="BodyText"/>
        <w:rPr>
          <w:rFonts w:ascii="Calibri"/>
          <w:i/>
          <w:sz w:val="20"/>
        </w:rPr>
      </w:pPr>
    </w:p>
    <w:p w14:paraId="33FC62CF" w14:textId="77777777" w:rsidR="00EF7C29" w:rsidRDefault="00EF7C29">
      <w:pPr>
        <w:pStyle w:val="BodyText"/>
        <w:rPr>
          <w:rFonts w:ascii="Calibri"/>
          <w:i/>
          <w:sz w:val="20"/>
        </w:rPr>
      </w:pPr>
    </w:p>
    <w:p w14:paraId="74676C5F" w14:textId="77777777" w:rsidR="00EF7C29" w:rsidRDefault="00EF7C29">
      <w:pPr>
        <w:pStyle w:val="BodyText"/>
        <w:rPr>
          <w:rFonts w:ascii="Calibri"/>
          <w:i/>
          <w:sz w:val="20"/>
        </w:rPr>
      </w:pPr>
    </w:p>
    <w:p w14:paraId="3EB57C29" w14:textId="77777777" w:rsidR="00EF7C29" w:rsidRDefault="00EF7C29">
      <w:pPr>
        <w:pStyle w:val="BodyText"/>
        <w:rPr>
          <w:rFonts w:ascii="Calibri"/>
          <w:i/>
          <w:sz w:val="20"/>
        </w:rPr>
      </w:pPr>
    </w:p>
    <w:p w14:paraId="53691047" w14:textId="77777777" w:rsidR="00EF7C29" w:rsidRDefault="00EF7C29">
      <w:pPr>
        <w:pStyle w:val="BodyText"/>
        <w:rPr>
          <w:rFonts w:ascii="Calibri"/>
          <w:i/>
          <w:sz w:val="20"/>
        </w:rPr>
      </w:pPr>
    </w:p>
    <w:p w14:paraId="00A25667" w14:textId="77777777" w:rsidR="00EF7C29" w:rsidRDefault="00EF7C29">
      <w:pPr>
        <w:pStyle w:val="BodyText"/>
        <w:rPr>
          <w:rFonts w:ascii="Calibri"/>
          <w:i/>
          <w:sz w:val="20"/>
        </w:rPr>
      </w:pPr>
    </w:p>
    <w:p w14:paraId="6ED96264" w14:textId="77777777" w:rsidR="00EF7C29" w:rsidRDefault="00EF7C29">
      <w:pPr>
        <w:pStyle w:val="BodyText"/>
        <w:rPr>
          <w:rFonts w:ascii="Calibri"/>
          <w:i/>
          <w:sz w:val="20"/>
        </w:rPr>
      </w:pPr>
    </w:p>
    <w:p w14:paraId="24A08048" w14:textId="77777777" w:rsidR="00EF7C29" w:rsidRDefault="00EF7C29">
      <w:pPr>
        <w:pStyle w:val="BodyText"/>
        <w:rPr>
          <w:rFonts w:ascii="Calibri"/>
          <w:i/>
          <w:sz w:val="20"/>
        </w:rPr>
      </w:pPr>
    </w:p>
    <w:p w14:paraId="3C660307" w14:textId="77777777" w:rsidR="00EF7C29" w:rsidRDefault="00EF7C29">
      <w:pPr>
        <w:pStyle w:val="BodyText"/>
        <w:rPr>
          <w:rFonts w:ascii="Calibri"/>
          <w:i/>
          <w:sz w:val="20"/>
        </w:rPr>
      </w:pPr>
    </w:p>
    <w:p w14:paraId="308EF837" w14:textId="77777777" w:rsidR="00EF7C29" w:rsidRDefault="00EF7C29">
      <w:pPr>
        <w:pStyle w:val="BodyText"/>
        <w:rPr>
          <w:rFonts w:ascii="Calibri"/>
          <w:i/>
          <w:sz w:val="20"/>
        </w:rPr>
      </w:pPr>
    </w:p>
    <w:p w14:paraId="77D51332" w14:textId="77777777" w:rsidR="00EF7C29" w:rsidRDefault="00EF7C29">
      <w:pPr>
        <w:pStyle w:val="BodyText"/>
        <w:spacing w:before="5"/>
        <w:rPr>
          <w:rFonts w:ascii="Calibri"/>
          <w:i/>
          <w:sz w:val="20"/>
        </w:rPr>
      </w:pPr>
    </w:p>
    <w:p w14:paraId="444E4E5D" w14:textId="77777777" w:rsidR="00EF7C29" w:rsidRDefault="00450537">
      <w:pPr>
        <w:spacing w:before="90"/>
        <w:ind w:left="2327" w:right="2305" w:hanging="7"/>
        <w:jc w:val="center"/>
        <w:rPr>
          <w:b/>
          <w:sz w:val="24"/>
        </w:rPr>
      </w:pPr>
      <w:r>
        <w:rPr>
          <w:b/>
          <w:sz w:val="24"/>
        </w:rPr>
        <w:t>UNITED STATES BANKRUPTCY COURT MIDDLE DISTRICT OF NORTH CAROLINA</w:t>
      </w:r>
    </w:p>
    <w:p w14:paraId="0B212087" w14:textId="77777777" w:rsidR="00EF7C29" w:rsidRDefault="00EF7C29">
      <w:pPr>
        <w:pStyle w:val="BodyText"/>
        <w:rPr>
          <w:b/>
          <w:sz w:val="26"/>
        </w:rPr>
      </w:pPr>
    </w:p>
    <w:p w14:paraId="10E98D40" w14:textId="77777777" w:rsidR="00EF7C29" w:rsidRDefault="00450537">
      <w:pPr>
        <w:pStyle w:val="BodyText"/>
        <w:tabs>
          <w:tab w:val="left" w:pos="4670"/>
        </w:tabs>
        <w:spacing w:before="229" w:line="252" w:lineRule="exact"/>
        <w:ind w:left="100"/>
      </w:pPr>
      <w:r>
        <w:rPr>
          <w:color w:val="221F1F"/>
        </w:rPr>
        <w:t>IN</w:t>
      </w:r>
      <w:r>
        <w:rPr>
          <w:color w:val="221F1F"/>
          <w:spacing w:val="-4"/>
        </w:rPr>
        <w:t xml:space="preserve"> </w:t>
      </w:r>
      <w:r>
        <w:rPr>
          <w:color w:val="221F1F"/>
        </w:rPr>
        <w:t>RE:</w:t>
      </w:r>
      <w:r>
        <w:rPr>
          <w:color w:val="221F1F"/>
        </w:rPr>
        <w:tab/>
        <w:t>)</w:t>
      </w:r>
    </w:p>
    <w:p w14:paraId="6ADC782F" w14:textId="77777777" w:rsidR="00EF7C29" w:rsidRDefault="00450537">
      <w:pPr>
        <w:pStyle w:val="BodyText"/>
        <w:spacing w:line="224" w:lineRule="exact"/>
        <w:ind w:right="128"/>
        <w:jc w:val="center"/>
      </w:pPr>
      <w:r>
        <w:rPr>
          <w:color w:val="221F1F"/>
          <w:w w:val="97"/>
        </w:rPr>
        <w:t>)</w:t>
      </w:r>
    </w:p>
    <w:p w14:paraId="26FB9C29" w14:textId="77777777" w:rsidR="00EF7C29" w:rsidRDefault="00450537">
      <w:pPr>
        <w:pStyle w:val="BodyText"/>
        <w:tabs>
          <w:tab w:val="left" w:pos="5861"/>
        </w:tabs>
        <w:spacing w:line="221" w:lineRule="exact"/>
        <w:ind w:left="4661"/>
      </w:pPr>
      <w:r>
        <w:rPr>
          <w:color w:val="221F1F"/>
        </w:rPr>
        <w:t>)</w:t>
      </w:r>
      <w:r>
        <w:rPr>
          <w:color w:val="221F1F"/>
        </w:rPr>
        <w:tab/>
        <w:t>Case</w:t>
      </w:r>
      <w:r>
        <w:rPr>
          <w:color w:val="221F1F"/>
          <w:spacing w:val="-2"/>
        </w:rPr>
        <w:t xml:space="preserve"> </w:t>
      </w:r>
      <w:r>
        <w:rPr>
          <w:color w:val="221F1F"/>
        </w:rPr>
        <w:t>No.</w:t>
      </w:r>
    </w:p>
    <w:p w14:paraId="1DA298C1" w14:textId="77777777" w:rsidR="00EF7C29" w:rsidRDefault="00450537">
      <w:pPr>
        <w:pStyle w:val="BodyText"/>
        <w:tabs>
          <w:tab w:val="left" w:pos="4670"/>
        </w:tabs>
        <w:spacing w:line="221" w:lineRule="exact"/>
        <w:ind w:left="2390"/>
      </w:pPr>
      <w:r>
        <w:rPr>
          <w:color w:val="221F1F"/>
        </w:rPr>
        <w:t>Debtor(s)</w:t>
      </w:r>
      <w:r>
        <w:rPr>
          <w:color w:val="221F1F"/>
        </w:rPr>
        <w:tab/>
        <w:t>)</w:t>
      </w:r>
    </w:p>
    <w:p w14:paraId="01CADF03" w14:textId="77777777" w:rsidR="00EF7C29" w:rsidRDefault="00450537">
      <w:pPr>
        <w:pStyle w:val="BodyText"/>
        <w:spacing w:line="221" w:lineRule="exact"/>
        <w:ind w:right="116"/>
        <w:jc w:val="center"/>
      </w:pPr>
      <w:r>
        <w:rPr>
          <w:color w:val="221F1F"/>
          <w:w w:val="99"/>
        </w:rPr>
        <w:t>)</w:t>
      </w:r>
    </w:p>
    <w:p w14:paraId="5EDA20B9" w14:textId="35B704D4" w:rsidR="00EF7C29" w:rsidRDefault="008D179E">
      <w:pPr>
        <w:pStyle w:val="BodyText"/>
        <w:spacing w:line="221" w:lineRule="exact"/>
        <w:ind w:right="128"/>
        <w:jc w:val="center"/>
      </w:pPr>
      <w:r>
        <w:rPr>
          <w:noProof/>
        </w:rPr>
        <mc:AlternateContent>
          <mc:Choice Requires="wps">
            <w:drawing>
              <wp:anchor distT="0" distB="0" distL="114300" distR="114300" simplePos="0" relativeHeight="251657216" behindDoc="0" locked="0" layoutInCell="1" allowOverlap="1" wp14:anchorId="4581330A" wp14:editId="3007C901">
                <wp:simplePos x="0" y="0"/>
                <wp:positionH relativeFrom="page">
                  <wp:posOffset>914400</wp:posOffset>
                </wp:positionH>
                <wp:positionV relativeFrom="paragraph">
                  <wp:posOffset>5080</wp:posOffset>
                </wp:positionV>
                <wp:extent cx="2597150" cy="0"/>
                <wp:effectExtent l="9525" t="12065" r="12700" b="698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7620">
                          <a:solidFill>
                            <a:srgbClr val="21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9015"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4pt" to="27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" strokecolor="#211e1f" strokeweight=".6pt">
                <w10:wrap anchorx="page"/>
              </v:line>
            </w:pict>
          </mc:Fallback>
        </mc:AlternateContent>
      </w:r>
      <w:r w:rsidR="00450537">
        <w:rPr>
          <w:color w:val="221F1F"/>
          <w:w w:val="97"/>
        </w:rPr>
        <w:t>)</w:t>
      </w:r>
    </w:p>
    <w:p w14:paraId="7126409C" w14:textId="77777777" w:rsidR="00EF7C29" w:rsidRDefault="00450537">
      <w:pPr>
        <w:pStyle w:val="BodyText"/>
        <w:spacing w:line="221" w:lineRule="exact"/>
        <w:ind w:right="128"/>
        <w:jc w:val="center"/>
      </w:pPr>
      <w:r>
        <w:rPr>
          <w:color w:val="221F1F"/>
          <w:w w:val="97"/>
        </w:rPr>
        <w:t>)</w:t>
      </w:r>
    </w:p>
    <w:p w14:paraId="638984A0" w14:textId="77777777" w:rsidR="00EF7C29" w:rsidRDefault="00450537">
      <w:pPr>
        <w:pStyle w:val="BodyText"/>
        <w:tabs>
          <w:tab w:val="left" w:pos="4670"/>
        </w:tabs>
        <w:spacing w:line="221" w:lineRule="exact"/>
        <w:ind w:left="2390"/>
      </w:pPr>
      <w:r>
        <w:rPr>
          <w:color w:val="221F1F"/>
        </w:rPr>
        <w:t>Plaintiff(s),</w:t>
      </w:r>
      <w:r>
        <w:rPr>
          <w:color w:val="221F1F"/>
        </w:rPr>
        <w:tab/>
        <w:t>)</w:t>
      </w:r>
    </w:p>
    <w:p w14:paraId="2DB1D3F4" w14:textId="77777777" w:rsidR="00EF7C29" w:rsidRDefault="00450537">
      <w:pPr>
        <w:pStyle w:val="BodyText"/>
        <w:spacing w:line="221" w:lineRule="exact"/>
        <w:ind w:right="128"/>
        <w:jc w:val="center"/>
      </w:pPr>
      <w:r>
        <w:rPr>
          <w:color w:val="221F1F"/>
          <w:w w:val="97"/>
        </w:rPr>
        <w:t>)</w:t>
      </w:r>
    </w:p>
    <w:p w14:paraId="1A1D0BB6" w14:textId="77777777" w:rsidR="00EF7C29" w:rsidRDefault="00450537">
      <w:pPr>
        <w:pStyle w:val="BodyText"/>
        <w:tabs>
          <w:tab w:val="left" w:pos="4670"/>
          <w:tab w:val="left" w:pos="5861"/>
        </w:tabs>
        <w:spacing w:line="222" w:lineRule="exact"/>
        <w:ind w:left="100"/>
      </w:pPr>
      <w:r>
        <w:rPr>
          <w:color w:val="221F1F"/>
        </w:rPr>
        <w:t>v.</w:t>
      </w:r>
      <w:r>
        <w:rPr>
          <w:color w:val="221F1F"/>
        </w:rPr>
        <w:tab/>
        <w:t>)</w:t>
      </w:r>
      <w:r>
        <w:rPr>
          <w:color w:val="221F1F"/>
        </w:rPr>
        <w:tab/>
        <w:t>Adversary</w:t>
      </w:r>
      <w:r>
        <w:rPr>
          <w:color w:val="221F1F"/>
          <w:spacing w:val="-4"/>
        </w:rPr>
        <w:t xml:space="preserve"> </w:t>
      </w:r>
      <w:r>
        <w:rPr>
          <w:color w:val="221F1F"/>
        </w:rPr>
        <w:t>No.</w:t>
      </w:r>
    </w:p>
    <w:p w14:paraId="67571750" w14:textId="77777777" w:rsidR="00EF7C29" w:rsidRDefault="00450537">
      <w:pPr>
        <w:pStyle w:val="BodyText"/>
        <w:spacing w:line="222" w:lineRule="exact"/>
        <w:ind w:right="128"/>
        <w:jc w:val="center"/>
      </w:pPr>
      <w:r>
        <w:rPr>
          <w:color w:val="221F1F"/>
          <w:w w:val="97"/>
        </w:rPr>
        <w:t>)</w:t>
      </w:r>
    </w:p>
    <w:p w14:paraId="13263BDF" w14:textId="77777777" w:rsidR="00EF7C29" w:rsidRDefault="00450537">
      <w:pPr>
        <w:pStyle w:val="BodyText"/>
        <w:spacing w:line="221" w:lineRule="exact"/>
        <w:ind w:right="128"/>
        <w:jc w:val="center"/>
      </w:pPr>
      <w:r>
        <w:rPr>
          <w:color w:val="221F1F"/>
          <w:w w:val="97"/>
        </w:rPr>
        <w:t>)</w:t>
      </w:r>
    </w:p>
    <w:p w14:paraId="3CD38B64" w14:textId="77777777" w:rsidR="00EF7C29" w:rsidRDefault="00450537">
      <w:pPr>
        <w:pStyle w:val="BodyText"/>
        <w:tabs>
          <w:tab w:val="left" w:pos="4670"/>
        </w:tabs>
        <w:spacing w:line="232" w:lineRule="exact"/>
        <w:ind w:left="2390"/>
      </w:pPr>
      <w:r>
        <w:rPr>
          <w:color w:val="221F1F"/>
        </w:rPr>
        <w:t>Defendant(s).</w:t>
      </w:r>
      <w:r>
        <w:rPr>
          <w:color w:val="221F1F"/>
        </w:rPr>
        <w:tab/>
        <w:t>)</w:t>
      </w:r>
    </w:p>
    <w:p w14:paraId="1A9749B5" w14:textId="77777777" w:rsidR="00EF7C29" w:rsidRDefault="00450537">
      <w:pPr>
        <w:pStyle w:val="BodyText"/>
        <w:spacing w:line="259" w:lineRule="exact"/>
        <w:ind w:right="128"/>
        <w:jc w:val="center"/>
      </w:pPr>
      <w:r>
        <w:rPr>
          <w:color w:val="221F1F"/>
          <w:w w:val="97"/>
        </w:rPr>
        <w:t>)</w:t>
      </w:r>
    </w:p>
    <w:p w14:paraId="38F35815" w14:textId="77777777" w:rsidR="00EF7C29" w:rsidRDefault="00EF7C29">
      <w:pPr>
        <w:pStyle w:val="BodyText"/>
        <w:spacing w:before="7"/>
        <w:rPr>
          <w:sz w:val="25"/>
        </w:rPr>
      </w:pPr>
    </w:p>
    <w:p w14:paraId="6A86E15D" w14:textId="77777777" w:rsidR="00EF7C29" w:rsidRDefault="00450537">
      <w:pPr>
        <w:pStyle w:val="BodyText"/>
        <w:spacing w:before="1"/>
        <w:ind w:left="3537" w:right="3521"/>
        <w:jc w:val="center"/>
      </w:pPr>
      <w:r>
        <w:rPr>
          <w:u w:val="single"/>
        </w:rPr>
        <w:t>SCHEDULING ORDER</w:t>
      </w:r>
    </w:p>
    <w:p w14:paraId="53808E6A" w14:textId="77777777" w:rsidR="00EF7C29" w:rsidRDefault="00EF7C29">
      <w:pPr>
        <w:pStyle w:val="BodyText"/>
        <w:spacing w:before="4"/>
        <w:rPr>
          <w:sz w:val="16"/>
        </w:rPr>
      </w:pPr>
    </w:p>
    <w:p w14:paraId="05E46C5A" w14:textId="77777777" w:rsidR="00EF7C29" w:rsidRDefault="00450537">
      <w:pPr>
        <w:pStyle w:val="BodyText"/>
        <w:spacing w:before="90" w:line="360" w:lineRule="auto"/>
        <w:ind w:left="100" w:right="329" w:firstLine="719"/>
      </w:pPr>
      <w:r>
        <w:rPr>
          <w:color w:val="221F1F"/>
        </w:rPr>
        <w:t>It appearing to the Court that the parties have conferred and submitted a scheduling memorandum in accordance with Federal Rule 26(f) and Bankruptcy Rule 7026 and that this scheduling order should be entered at this time without the parties appearing in court for a pre- trial/scheduling conference.</w:t>
      </w:r>
    </w:p>
    <w:p w14:paraId="271D6521" w14:textId="77777777" w:rsidR="00EF7C29" w:rsidRDefault="00EF7C29">
      <w:pPr>
        <w:pStyle w:val="BodyText"/>
        <w:spacing w:before="11"/>
        <w:rPr>
          <w:sz w:val="35"/>
        </w:rPr>
      </w:pPr>
    </w:p>
    <w:p w14:paraId="2DBD71D0" w14:textId="77777777" w:rsidR="00EF7C29" w:rsidRDefault="00450537">
      <w:pPr>
        <w:pStyle w:val="BodyText"/>
        <w:ind w:left="820"/>
      </w:pPr>
      <w:r>
        <w:rPr>
          <w:color w:val="221F1F"/>
        </w:rPr>
        <w:t xml:space="preserve">Now, therefore, it is </w:t>
      </w:r>
      <w:r>
        <w:rPr>
          <w:b/>
          <w:color w:val="221F1F"/>
        </w:rPr>
        <w:t xml:space="preserve">ORDERED </w:t>
      </w:r>
      <w:r>
        <w:rPr>
          <w:color w:val="221F1F"/>
        </w:rPr>
        <w:t>as follows:</w:t>
      </w:r>
    </w:p>
    <w:p w14:paraId="57C415B2" w14:textId="77777777" w:rsidR="00EF7C29" w:rsidRDefault="00EF7C29">
      <w:pPr>
        <w:sectPr w:rsidR="00EF7C29">
          <w:headerReference w:type="default" r:id="rId7"/>
          <w:type w:val="continuous"/>
          <w:pgSz w:w="12240" w:h="15840"/>
          <w:pgMar w:top="680" w:right="1360" w:bottom="280" w:left="1340" w:header="720" w:footer="720" w:gutter="0"/>
          <w:cols w:space="720"/>
        </w:sectPr>
      </w:pPr>
    </w:p>
    <w:p w14:paraId="18814567" w14:textId="77777777" w:rsidR="00EF7C29" w:rsidRDefault="00450537">
      <w:pPr>
        <w:pStyle w:val="ListParagraph"/>
        <w:numPr>
          <w:ilvl w:val="0"/>
          <w:numId w:val="1"/>
        </w:numPr>
        <w:tabs>
          <w:tab w:val="left" w:pos="820"/>
          <w:tab w:val="left" w:pos="821"/>
        </w:tabs>
        <w:spacing w:before="62" w:line="360" w:lineRule="auto"/>
        <w:ind w:right="269"/>
        <w:rPr>
          <w:sz w:val="24"/>
        </w:rPr>
      </w:pPr>
      <w:r>
        <w:rPr>
          <w:color w:val="221F1F"/>
          <w:sz w:val="24"/>
        </w:rPr>
        <w:lastRenderedPageBreak/>
        <w:t>Except as provided herein, the time limits set forth in the joint scheduling</w:t>
      </w:r>
      <w:r>
        <w:rPr>
          <w:color w:val="221F1F"/>
          <w:spacing w:val="-12"/>
          <w:sz w:val="24"/>
        </w:rPr>
        <w:t xml:space="preserve"> </w:t>
      </w:r>
      <w:r>
        <w:rPr>
          <w:color w:val="221F1F"/>
          <w:sz w:val="24"/>
        </w:rPr>
        <w:t>memorandum are approved and shall be binding on the parties.</w:t>
      </w:r>
    </w:p>
    <w:p w14:paraId="32503DEF" w14:textId="77777777" w:rsidR="00EF7C29" w:rsidRDefault="00450537">
      <w:pPr>
        <w:pStyle w:val="ListParagraph"/>
        <w:numPr>
          <w:ilvl w:val="0"/>
          <w:numId w:val="1"/>
        </w:numPr>
        <w:tabs>
          <w:tab w:val="left" w:pos="820"/>
          <w:tab w:val="left" w:pos="821"/>
          <w:tab w:val="left" w:pos="7277"/>
          <w:tab w:val="left" w:pos="8052"/>
        </w:tabs>
        <w:rPr>
          <w:sz w:val="24"/>
        </w:rPr>
      </w:pPr>
      <w:r>
        <w:rPr>
          <w:color w:val="221F1F"/>
          <w:sz w:val="24"/>
        </w:rPr>
        <w:t>The initial pre-trial conference</w:t>
      </w:r>
      <w:r>
        <w:rPr>
          <w:color w:val="221F1F"/>
          <w:spacing w:val="-7"/>
          <w:sz w:val="24"/>
        </w:rPr>
        <w:t xml:space="preserve"> </w:t>
      </w:r>
      <w:r>
        <w:rPr>
          <w:color w:val="221F1F"/>
          <w:sz w:val="24"/>
        </w:rPr>
        <w:t>scheduled</w:t>
      </w:r>
      <w:r>
        <w:rPr>
          <w:color w:val="221F1F"/>
          <w:spacing w:val="-2"/>
          <w:sz w:val="24"/>
        </w:rPr>
        <w:t xml:space="preserve"> </w:t>
      </w:r>
      <w:r>
        <w:rPr>
          <w:color w:val="221F1F"/>
          <w:sz w:val="24"/>
        </w:rPr>
        <w:t>for</w:t>
      </w:r>
      <w:r>
        <w:rPr>
          <w:color w:val="221F1F"/>
          <w:sz w:val="24"/>
          <w:u w:val="single" w:color="211E1E"/>
        </w:rPr>
        <w:t xml:space="preserve"> </w:t>
      </w:r>
      <w:r>
        <w:rPr>
          <w:color w:val="221F1F"/>
          <w:sz w:val="24"/>
          <w:u w:val="single" w:color="211E1E"/>
        </w:rPr>
        <w:tab/>
      </w:r>
      <w:r>
        <w:rPr>
          <w:color w:val="221F1F"/>
          <w:sz w:val="24"/>
        </w:rPr>
        <w:t>, 20</w:t>
      </w:r>
      <w:r>
        <w:rPr>
          <w:color w:val="221F1F"/>
          <w:sz w:val="24"/>
          <w:u w:val="single" w:color="211E1E"/>
        </w:rPr>
        <w:t xml:space="preserve"> </w:t>
      </w:r>
      <w:r>
        <w:rPr>
          <w:color w:val="221F1F"/>
          <w:sz w:val="24"/>
          <w:u w:val="single" w:color="211E1E"/>
        </w:rPr>
        <w:tab/>
      </w:r>
      <w:r>
        <w:rPr>
          <w:color w:val="221F1F"/>
          <w:sz w:val="24"/>
        </w:rPr>
        <w:t>, is</w:t>
      </w:r>
      <w:r>
        <w:rPr>
          <w:color w:val="221F1F"/>
          <w:spacing w:val="-2"/>
          <w:sz w:val="24"/>
        </w:rPr>
        <w:t xml:space="preserve"> </w:t>
      </w:r>
      <w:r>
        <w:rPr>
          <w:color w:val="221F1F"/>
          <w:sz w:val="24"/>
        </w:rPr>
        <w:t>canceled.</w:t>
      </w:r>
    </w:p>
    <w:p w14:paraId="4B64D889" w14:textId="77777777" w:rsidR="00EF7C29" w:rsidRDefault="00450537">
      <w:pPr>
        <w:pStyle w:val="ListParagraph"/>
        <w:numPr>
          <w:ilvl w:val="0"/>
          <w:numId w:val="1"/>
        </w:numPr>
        <w:tabs>
          <w:tab w:val="left" w:pos="820"/>
          <w:tab w:val="left" w:pos="821"/>
        </w:tabs>
        <w:spacing w:before="137" w:line="360" w:lineRule="auto"/>
        <w:ind w:right="363"/>
        <w:rPr>
          <w:sz w:val="24"/>
        </w:rPr>
      </w:pPr>
      <w:r>
        <w:rPr>
          <w:color w:val="221F1F"/>
          <w:sz w:val="24"/>
        </w:rPr>
        <w:t>The deadline for filing final pre-trial disclosures and the required contents thereof</w:t>
      </w:r>
      <w:r>
        <w:rPr>
          <w:color w:val="221F1F"/>
          <w:spacing w:val="-13"/>
          <w:sz w:val="24"/>
        </w:rPr>
        <w:t xml:space="preserve"> </w:t>
      </w:r>
      <w:r>
        <w:rPr>
          <w:color w:val="221F1F"/>
          <w:sz w:val="24"/>
        </w:rPr>
        <w:t>shall be set by further order of the</w:t>
      </w:r>
      <w:r>
        <w:rPr>
          <w:color w:val="221F1F"/>
          <w:spacing w:val="-2"/>
          <w:sz w:val="24"/>
        </w:rPr>
        <w:t xml:space="preserve"> </w:t>
      </w:r>
      <w:r>
        <w:rPr>
          <w:color w:val="221F1F"/>
          <w:sz w:val="24"/>
        </w:rPr>
        <w:t>Court.</w:t>
      </w:r>
    </w:p>
    <w:p w14:paraId="76D3CA05" w14:textId="52524179" w:rsidR="00EF7C29" w:rsidRDefault="008D179E">
      <w:pPr>
        <w:pStyle w:val="ListParagraph"/>
        <w:numPr>
          <w:ilvl w:val="0"/>
          <w:numId w:val="1"/>
        </w:numPr>
        <w:tabs>
          <w:tab w:val="left" w:pos="820"/>
          <w:tab w:val="left" w:pos="821"/>
          <w:tab w:val="left" w:pos="8333"/>
        </w:tabs>
        <w:rPr>
          <w:sz w:val="24"/>
        </w:rPr>
      </w:pPr>
      <w:r>
        <w:rPr>
          <w:noProof/>
        </w:rPr>
        <mc:AlternateContent>
          <mc:Choice Requires="wpg">
            <w:drawing>
              <wp:anchor distT="0" distB="0" distL="114300" distR="114300" simplePos="0" relativeHeight="251658240" behindDoc="0" locked="0" layoutInCell="1" allowOverlap="1" wp14:anchorId="088FD071" wp14:editId="5A463453">
                <wp:simplePos x="0" y="0"/>
                <wp:positionH relativeFrom="page">
                  <wp:posOffset>2263140</wp:posOffset>
                </wp:positionH>
                <wp:positionV relativeFrom="paragraph">
                  <wp:posOffset>158750</wp:posOffset>
                </wp:positionV>
                <wp:extent cx="3879850" cy="16510"/>
                <wp:effectExtent l="5715" t="6985" r="10160"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0" cy="16510"/>
                          <a:chOff x="3564" y="250"/>
                          <a:chExt cx="6110" cy="26"/>
                        </a:xfrm>
                      </wpg:grpSpPr>
                      <wps:wsp>
                        <wps:cNvPr id="2" name="Line 4"/>
                        <wps:cNvCnPr>
                          <a:cxnSpLocks noChangeShapeType="1"/>
                        </wps:cNvCnPr>
                        <wps:spPr bwMode="auto">
                          <a:xfrm>
                            <a:off x="9314" y="271"/>
                            <a:ext cx="360" cy="0"/>
                          </a:xfrm>
                          <a:prstGeom prst="line">
                            <a:avLst/>
                          </a:prstGeom>
                          <a:noFill/>
                          <a:ln w="6096">
                            <a:solidFill>
                              <a:srgbClr val="211E1E"/>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3564" y="256"/>
                            <a:ext cx="5750" cy="0"/>
                          </a:xfrm>
                          <a:prstGeom prst="line">
                            <a:avLst/>
                          </a:prstGeom>
                          <a:noFill/>
                          <a:ln w="7620">
                            <a:solidFill>
                              <a:srgbClr val="221F1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ACDF07" id="Group 2" o:spid="_x0000_s1026" style="position:absolute;margin-left:178.2pt;margin-top:12.5pt;width:305.5pt;height:1.3pt;z-index:251658240;mso-position-horizontal-relative:page" coordorigin="3564,250" coordsize="61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">
                <v:line id="Line 4" o:spid="_x0000_s1027" style="position:absolute;visibility:visible;mso-wrap-style:square" from="9314,271" to="9674,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" strokecolor="#211e1e" strokeweight=".48pt"/>
                <v:line id="Line 3" o:spid="_x0000_s1028" style="position:absolute;visibility:visible;mso-wrap-style:square" from="3564,256" to="93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" strokecolor="#221f1f" strokeweight=".6pt"/>
                <w10:wrap anchorx="page"/>
              </v:group>
            </w:pict>
          </mc:Fallback>
        </mc:AlternateContent>
      </w:r>
      <w:r w:rsidR="00450537">
        <w:rPr>
          <w:color w:val="221F1F"/>
          <w:sz w:val="24"/>
        </w:rPr>
        <w:t xml:space="preserve">On or before </w:t>
      </w:r>
      <w:proofErr w:type="gramStart"/>
      <w:r w:rsidR="00450537">
        <w:rPr>
          <w:color w:val="221F1F"/>
          <w:sz w:val="24"/>
        </w:rPr>
        <w:t>_[</w:t>
      </w:r>
      <w:proofErr w:type="gramEnd"/>
      <w:r w:rsidR="00450537">
        <w:rPr>
          <w:color w:val="221F1F"/>
          <w:sz w:val="24"/>
        </w:rPr>
        <w:t>the first business day after the dispositive</w:t>
      </w:r>
      <w:r w:rsidR="00450537">
        <w:rPr>
          <w:color w:val="221F1F"/>
          <w:spacing w:val="-8"/>
          <w:sz w:val="24"/>
        </w:rPr>
        <w:t xml:space="preserve"> </w:t>
      </w:r>
      <w:r w:rsidR="00450537">
        <w:rPr>
          <w:color w:val="221F1F"/>
          <w:sz w:val="24"/>
        </w:rPr>
        <w:t>motion</w:t>
      </w:r>
      <w:r w:rsidR="00450537">
        <w:rPr>
          <w:color w:val="221F1F"/>
          <w:spacing w:val="-1"/>
          <w:sz w:val="24"/>
        </w:rPr>
        <w:t xml:space="preserve"> </w:t>
      </w:r>
      <w:r w:rsidR="00450537">
        <w:rPr>
          <w:color w:val="221F1F"/>
          <w:sz w:val="24"/>
        </w:rPr>
        <w:t>deadline]</w:t>
      </w:r>
      <w:r w:rsidR="00450537">
        <w:rPr>
          <w:color w:val="221F1F"/>
          <w:sz w:val="24"/>
        </w:rPr>
        <w:tab/>
        <w:t>,</w:t>
      </w:r>
      <w:r w:rsidR="00450537">
        <w:rPr>
          <w:color w:val="221F1F"/>
          <w:spacing w:val="-1"/>
          <w:sz w:val="24"/>
        </w:rPr>
        <w:t xml:space="preserve"> </w:t>
      </w:r>
    </w:p>
    <w:p w14:paraId="35FA223F" w14:textId="62936A9B" w:rsidR="00EF7C29" w:rsidRDefault="00450537">
      <w:pPr>
        <w:pStyle w:val="BodyText"/>
        <w:spacing w:before="139" w:line="360" w:lineRule="auto"/>
        <w:ind w:left="820" w:right="322"/>
      </w:pPr>
      <w:r>
        <w:rPr>
          <w:color w:val="221F1F"/>
        </w:rPr>
        <w:t xml:space="preserve">the Court </w:t>
      </w:r>
      <w:r w:rsidR="0014273D">
        <w:rPr>
          <w:color w:val="221F1F"/>
        </w:rPr>
        <w:t>will</w:t>
      </w:r>
      <w:r>
        <w:rPr>
          <w:color w:val="221F1F"/>
        </w:rPr>
        <w:t xml:space="preserve"> schedule a final pre-trial hearing, unless a dispositive motion has been filed, in which case any final pre-trial hearing will be set by further order of the Court.</w:t>
      </w:r>
    </w:p>
    <w:p w14:paraId="58008B40" w14:textId="77777777" w:rsidR="00EF7C29" w:rsidRPr="00466772" w:rsidRDefault="00450537">
      <w:pPr>
        <w:pStyle w:val="ListParagraph"/>
        <w:numPr>
          <w:ilvl w:val="0"/>
          <w:numId w:val="1"/>
        </w:numPr>
        <w:tabs>
          <w:tab w:val="left" w:pos="820"/>
          <w:tab w:val="left" w:pos="821"/>
        </w:tabs>
        <w:spacing w:line="360" w:lineRule="auto"/>
        <w:ind w:right="225"/>
        <w:rPr>
          <w:sz w:val="24"/>
        </w:rPr>
      </w:pPr>
      <w:r w:rsidRPr="00466772">
        <w:rPr>
          <w:color w:val="221F1F"/>
          <w:sz w:val="24"/>
        </w:rPr>
        <w:t>The deadline for filing or responding to any final pre-trial motions and the scheduling of a hearing to consider any such motions will be set by further order of the</w:t>
      </w:r>
      <w:r w:rsidRPr="00466772">
        <w:rPr>
          <w:color w:val="221F1F"/>
          <w:spacing w:val="-8"/>
          <w:sz w:val="24"/>
        </w:rPr>
        <w:t xml:space="preserve"> </w:t>
      </w:r>
      <w:r w:rsidRPr="00466772">
        <w:rPr>
          <w:color w:val="221F1F"/>
          <w:sz w:val="24"/>
        </w:rPr>
        <w:t>Court.</w:t>
      </w:r>
    </w:p>
    <w:p w14:paraId="27EAF137" w14:textId="77777777" w:rsidR="00EF7C29" w:rsidRDefault="00450537">
      <w:pPr>
        <w:pStyle w:val="ListParagraph"/>
        <w:numPr>
          <w:ilvl w:val="0"/>
          <w:numId w:val="1"/>
        </w:numPr>
        <w:tabs>
          <w:tab w:val="left" w:pos="820"/>
          <w:tab w:val="left" w:pos="821"/>
        </w:tabs>
        <w:spacing w:line="360" w:lineRule="auto"/>
        <w:ind w:right="138"/>
        <w:rPr>
          <w:sz w:val="24"/>
        </w:rPr>
      </w:pPr>
      <w:r>
        <w:rPr>
          <w:sz w:val="24"/>
        </w:rPr>
        <w:t xml:space="preserve">At the final pre-trial hearing, the parties shall be prepared to discuss mediation, the scheduling and content of final pre-trial disclosures, </w:t>
      </w:r>
      <w:r w:rsidRPr="00466772">
        <w:rPr>
          <w:sz w:val="24"/>
        </w:rPr>
        <w:t>procedures for any pre-trial motions</w:t>
      </w:r>
      <w:r>
        <w:rPr>
          <w:sz w:val="24"/>
        </w:rPr>
        <w:t xml:space="preserve">, including motions </w:t>
      </w:r>
      <w:r>
        <w:rPr>
          <w:sz w:val="24"/>
          <w:u w:val="single"/>
        </w:rPr>
        <w:t xml:space="preserve">in </w:t>
      </w:r>
      <w:proofErr w:type="spellStart"/>
      <w:r>
        <w:rPr>
          <w:sz w:val="24"/>
          <w:u w:val="single"/>
        </w:rPr>
        <w:t>limine</w:t>
      </w:r>
      <w:proofErr w:type="spellEnd"/>
      <w:r>
        <w:rPr>
          <w:sz w:val="24"/>
        </w:rPr>
        <w:t>, the scheduling of trial, and any other matters which might make trial or other disposition of this adversary proceeding more</w:t>
      </w:r>
      <w:r>
        <w:rPr>
          <w:spacing w:val="-7"/>
          <w:sz w:val="24"/>
        </w:rPr>
        <w:t xml:space="preserve"> </w:t>
      </w:r>
      <w:r>
        <w:rPr>
          <w:sz w:val="24"/>
        </w:rPr>
        <w:t>efficient.</w:t>
      </w:r>
    </w:p>
    <w:p w14:paraId="7B349216" w14:textId="58B9A14B" w:rsidR="00EF7C29" w:rsidRPr="00466772" w:rsidRDefault="00450537">
      <w:pPr>
        <w:pStyle w:val="ListParagraph"/>
        <w:numPr>
          <w:ilvl w:val="0"/>
          <w:numId w:val="1"/>
        </w:numPr>
        <w:tabs>
          <w:tab w:val="left" w:pos="820"/>
          <w:tab w:val="left" w:pos="821"/>
        </w:tabs>
        <w:spacing w:line="360" w:lineRule="auto"/>
        <w:ind w:right="114"/>
        <w:rPr>
          <w:sz w:val="24"/>
        </w:rPr>
      </w:pPr>
      <w:r w:rsidRPr="00466772">
        <w:rPr>
          <w:color w:val="221F1F"/>
          <w:sz w:val="24"/>
        </w:rPr>
        <w:t xml:space="preserve">The Defendant shall have 30 days from the date of this Order within which to file a brief or legal memorandum in support of any defenses asserting insufficiency of process, insufficiency of service of process, and failure to state claims for relief. If the Defendant files a brief or legal memorandum in support of such defenses, the Plaintiff </w:t>
      </w:r>
      <w:r w:rsidR="000E239C" w:rsidRPr="00466772">
        <w:rPr>
          <w:color w:val="221F1F"/>
          <w:sz w:val="24"/>
        </w:rPr>
        <w:t>may file and serve</w:t>
      </w:r>
      <w:r w:rsidRPr="00466772">
        <w:rPr>
          <w:color w:val="221F1F"/>
          <w:sz w:val="24"/>
        </w:rPr>
        <w:t xml:space="preserve"> a brief or legal memorandum in opposition </w:t>
      </w:r>
      <w:r w:rsidR="000E239C" w:rsidRPr="00466772">
        <w:rPr>
          <w:color w:val="221F1F"/>
          <w:sz w:val="24"/>
        </w:rPr>
        <w:t xml:space="preserve">within </w:t>
      </w:r>
      <w:r w:rsidR="00466772">
        <w:rPr>
          <w:color w:val="221F1F"/>
          <w:sz w:val="24"/>
        </w:rPr>
        <w:t>(a) 21</w:t>
      </w:r>
      <w:r w:rsidR="000E239C" w:rsidRPr="00466772">
        <w:rPr>
          <w:color w:val="221F1F"/>
          <w:sz w:val="24"/>
        </w:rPr>
        <w:t xml:space="preserve"> days after service of </w:t>
      </w:r>
      <w:r w:rsidRPr="00466772">
        <w:rPr>
          <w:color w:val="221F1F"/>
          <w:sz w:val="24"/>
        </w:rPr>
        <w:t xml:space="preserve">the Defendant’s </w:t>
      </w:r>
      <w:r w:rsidR="000E239C" w:rsidRPr="00466772">
        <w:rPr>
          <w:color w:val="221F1F"/>
          <w:sz w:val="24"/>
        </w:rPr>
        <w:t>filing</w:t>
      </w:r>
      <w:r w:rsidR="00466772">
        <w:rPr>
          <w:color w:val="221F1F"/>
          <w:sz w:val="24"/>
        </w:rPr>
        <w:t xml:space="preserve">, or (b) 7 business days prior to any </w:t>
      </w:r>
      <w:r w:rsidR="00561A3D">
        <w:rPr>
          <w:color w:val="221F1F"/>
          <w:sz w:val="24"/>
        </w:rPr>
        <w:t xml:space="preserve">hearing </w:t>
      </w:r>
      <w:r w:rsidR="000B7138">
        <w:rPr>
          <w:color w:val="221F1F"/>
          <w:sz w:val="24"/>
        </w:rPr>
        <w:t xml:space="preserve">scheduled </w:t>
      </w:r>
      <w:r w:rsidR="00561A3D">
        <w:rPr>
          <w:color w:val="221F1F"/>
          <w:sz w:val="24"/>
        </w:rPr>
        <w:t xml:space="preserve">to consider the Defendant’s </w:t>
      </w:r>
      <w:r w:rsidR="009A501F">
        <w:rPr>
          <w:color w:val="221F1F"/>
          <w:sz w:val="24"/>
        </w:rPr>
        <w:t>filing</w:t>
      </w:r>
      <w:r w:rsidRPr="00466772">
        <w:rPr>
          <w:color w:val="221F1F"/>
          <w:sz w:val="24"/>
        </w:rPr>
        <w:t>. If the Defendant does not file a supporting brief or legal memorandum on or before 30 days from the date of this</w:t>
      </w:r>
      <w:r w:rsidRPr="00466772">
        <w:rPr>
          <w:color w:val="221F1F"/>
          <w:spacing w:val="-9"/>
          <w:sz w:val="24"/>
        </w:rPr>
        <w:t xml:space="preserve"> </w:t>
      </w:r>
      <w:r w:rsidRPr="00466772">
        <w:rPr>
          <w:color w:val="221F1F"/>
          <w:sz w:val="24"/>
        </w:rPr>
        <w:t>Order, the Defendant shall be deemed to have abandoned the foregoing defenses and an order overruling and denying such defenses shall be</w:t>
      </w:r>
      <w:r w:rsidRPr="00466772">
        <w:rPr>
          <w:color w:val="221F1F"/>
          <w:spacing w:val="-7"/>
          <w:sz w:val="24"/>
        </w:rPr>
        <w:t xml:space="preserve"> </w:t>
      </w:r>
      <w:r w:rsidRPr="00466772">
        <w:rPr>
          <w:color w:val="221F1F"/>
          <w:sz w:val="24"/>
        </w:rPr>
        <w:t>entered.</w:t>
      </w:r>
    </w:p>
    <w:p w14:paraId="2AD53E4B" w14:textId="30185F44" w:rsidR="00EF7C29" w:rsidRDefault="00450537">
      <w:pPr>
        <w:pStyle w:val="ListParagraph"/>
        <w:numPr>
          <w:ilvl w:val="0"/>
          <w:numId w:val="1"/>
        </w:numPr>
        <w:tabs>
          <w:tab w:val="left" w:pos="820"/>
          <w:tab w:val="left" w:pos="821"/>
        </w:tabs>
        <w:spacing w:line="360" w:lineRule="auto"/>
        <w:ind w:right="166"/>
        <w:rPr>
          <w:sz w:val="24"/>
        </w:rPr>
      </w:pPr>
      <w:r>
        <w:rPr>
          <w:color w:val="221F1F"/>
          <w:sz w:val="24"/>
        </w:rPr>
        <w:t>[I</w:t>
      </w:r>
      <w:r w:rsidR="000E239C">
        <w:rPr>
          <w:color w:val="221F1F"/>
          <w:sz w:val="24"/>
        </w:rPr>
        <w:t xml:space="preserve">NCLUDE THE FOLLOWING TWO PARAGRAPHS ONLY IF </w:t>
      </w:r>
      <w:r>
        <w:rPr>
          <w:color w:val="221F1F"/>
          <w:sz w:val="24"/>
        </w:rPr>
        <w:t>any party does not consent to the Bankruptcy Court entering final judgment</w:t>
      </w:r>
      <w:r w:rsidR="000E239C">
        <w:rPr>
          <w:color w:val="221F1F"/>
          <w:sz w:val="24"/>
        </w:rPr>
        <w:t xml:space="preserve"> OR </w:t>
      </w:r>
      <w:r w:rsidR="00E05AA3">
        <w:rPr>
          <w:color w:val="221F1F"/>
          <w:sz w:val="24"/>
        </w:rPr>
        <w:t xml:space="preserve">if </w:t>
      </w:r>
      <w:r w:rsidR="000E239C">
        <w:rPr>
          <w:color w:val="221F1F"/>
          <w:sz w:val="24"/>
        </w:rPr>
        <w:t>any party has asserted a right to a jury trial</w:t>
      </w:r>
      <w:r>
        <w:rPr>
          <w:color w:val="221F1F"/>
          <w:sz w:val="24"/>
        </w:rPr>
        <w:t>.] Any party that does not consent to the Bankruptcy Court entering final judgment on all matters raised in the pleadings shall have 30 days from entry of this Order to file a motion to determine whether the Bankruptcy Court may enter a final judgment or order in any cause of action to which the non-consenting party does not consent to entry of a final judgment or order by the Bankruptcy Court. Such motion shall be accompanied by a memorandum of law in support of the</w:t>
      </w:r>
      <w:r>
        <w:rPr>
          <w:color w:val="221F1F"/>
          <w:spacing w:val="-5"/>
          <w:sz w:val="24"/>
        </w:rPr>
        <w:t xml:space="preserve"> </w:t>
      </w:r>
      <w:r>
        <w:rPr>
          <w:color w:val="221F1F"/>
          <w:sz w:val="24"/>
        </w:rPr>
        <w:t>motion.</w:t>
      </w:r>
    </w:p>
    <w:p w14:paraId="51C39717" w14:textId="77777777" w:rsidR="00EF7C29" w:rsidRDefault="00EF7C29">
      <w:pPr>
        <w:spacing w:line="360" w:lineRule="auto"/>
        <w:rPr>
          <w:sz w:val="24"/>
        </w:rPr>
        <w:sectPr w:rsidR="00EF7C29">
          <w:pgSz w:w="12240" w:h="15840"/>
          <w:pgMar w:top="1500" w:right="1360" w:bottom="280" w:left="1340" w:header="720" w:footer="720" w:gutter="0"/>
          <w:cols w:space="720"/>
        </w:sectPr>
      </w:pPr>
    </w:p>
    <w:p w14:paraId="57883102" w14:textId="77777777" w:rsidR="00EF7C29" w:rsidRDefault="00EF7C29">
      <w:pPr>
        <w:pStyle w:val="BodyText"/>
        <w:spacing w:before="9"/>
        <w:rPr>
          <w:sz w:val="22"/>
        </w:rPr>
      </w:pPr>
    </w:p>
    <w:p w14:paraId="1ECD09E6" w14:textId="77777777" w:rsidR="00EF7C29" w:rsidRDefault="00450537">
      <w:pPr>
        <w:pStyle w:val="BodyText"/>
        <w:spacing w:before="90" w:line="360" w:lineRule="auto"/>
        <w:ind w:left="820" w:right="135" w:firstLine="561"/>
      </w:pPr>
      <w:r>
        <w:rPr>
          <w:color w:val="221F1F"/>
        </w:rPr>
        <w:t>THE FAILURE TO TIMELY MOVE TO DETERMINE WHETHER THE BANKRUPTCY COURT MAY ENTER A FINAL JUDGMENT OR ORDER WITH RESPECT TO ANY MATTER, ISSUE, OR CLAIM FOR RELIEF SHALL CONSTITUTE A WAIVER OF ANY RIGHT TO ADJUDICATION BY A COURT ESTABLISHED UNDER ARTICLE III OF THE UNITED STATES CONSTITUTION AND ANY RIGHT TO A JURY TRIAL, AND THE WAIVER SHALL BE DEEMED TO BE CONSENT TO HAVE THE BANKRUPTCY COURT ENTER FINAL JUDGMENT.</w:t>
      </w:r>
    </w:p>
    <w:p w14:paraId="3B016CCF" w14:textId="77777777" w:rsidR="00EF7C29" w:rsidRDefault="00EF7C29">
      <w:pPr>
        <w:pStyle w:val="BodyText"/>
        <w:spacing w:before="2"/>
        <w:rPr>
          <w:sz w:val="36"/>
        </w:rPr>
      </w:pPr>
    </w:p>
    <w:p w14:paraId="40B81A24" w14:textId="7B68185F" w:rsidR="00EF7C29" w:rsidRDefault="00450537">
      <w:pPr>
        <w:pStyle w:val="BodyText"/>
        <w:spacing w:line="360" w:lineRule="auto"/>
        <w:ind w:left="820" w:right="135"/>
      </w:pPr>
      <w:r>
        <w:rPr>
          <w:color w:val="221F1F"/>
        </w:rPr>
        <w:t>[I</w:t>
      </w:r>
      <w:r w:rsidR="000E239C">
        <w:rPr>
          <w:color w:val="221F1F"/>
        </w:rPr>
        <w:t>NCLUDE THE FOLLOWING SENTENCE ONLY IF</w:t>
      </w:r>
      <w:r>
        <w:rPr>
          <w:color w:val="221F1F"/>
        </w:rPr>
        <w:t xml:space="preserve"> </w:t>
      </w:r>
      <w:r w:rsidR="000E239C">
        <w:rPr>
          <w:color w:val="221F1F"/>
        </w:rPr>
        <w:t xml:space="preserve">the above does not apply, and </w:t>
      </w:r>
      <w:r>
        <w:rPr>
          <w:color w:val="221F1F"/>
        </w:rPr>
        <w:t>all parties consent to entry of final orders by the Bankruptcy Court on all matters.] All parties have consented to entry of final orders by this Court for all matters raised in the pleadings.</w:t>
      </w:r>
    </w:p>
    <w:p w14:paraId="71CFA1DB" w14:textId="77777777" w:rsidR="00EF7C29" w:rsidRDefault="00450537">
      <w:pPr>
        <w:pStyle w:val="BodyText"/>
        <w:spacing w:line="273" w:lineRule="exact"/>
        <w:ind w:left="3539" w:right="3521"/>
        <w:jc w:val="center"/>
      </w:pPr>
      <w:r>
        <w:rPr>
          <w:color w:val="221F1F"/>
        </w:rPr>
        <w:t>[END OF DOCUMENT]</w:t>
      </w:r>
    </w:p>
    <w:sectPr w:rsidR="00EF7C29">
      <w:pgSz w:w="12240" w:h="15840"/>
      <w:pgMar w:top="150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E5B1C" w14:textId="77777777" w:rsidR="001827B6" w:rsidRDefault="001827B6" w:rsidP="001827B6">
      <w:r>
        <w:separator/>
      </w:r>
    </w:p>
  </w:endnote>
  <w:endnote w:type="continuationSeparator" w:id="0">
    <w:p w14:paraId="0EF18972" w14:textId="77777777" w:rsidR="001827B6" w:rsidRDefault="001827B6" w:rsidP="0018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5DD8" w14:textId="77777777" w:rsidR="001827B6" w:rsidRDefault="001827B6" w:rsidP="001827B6">
      <w:r>
        <w:separator/>
      </w:r>
    </w:p>
  </w:footnote>
  <w:footnote w:type="continuationSeparator" w:id="0">
    <w:p w14:paraId="1827CCBA" w14:textId="77777777" w:rsidR="001827B6" w:rsidRDefault="001827B6" w:rsidP="00182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AEEC" w14:textId="5A7805EE" w:rsidR="009101FE" w:rsidRPr="009101FE" w:rsidRDefault="009101FE" w:rsidP="009101FE">
    <w:pPr>
      <w:spacing w:before="39"/>
      <w:ind w:left="100"/>
      <w:rPr>
        <w:rFonts w:ascii="Calibri"/>
        <w:i/>
        <w:sz w:val="16"/>
      </w:rPr>
    </w:pPr>
    <w:r>
      <w:rPr>
        <w:rFonts w:ascii="Calibri"/>
        <w:i/>
        <w:sz w:val="16"/>
      </w:rPr>
      <w:t>NCMB-224 (1/2</w:t>
    </w:r>
    <w:r w:rsidR="00BA1C95">
      <w:rPr>
        <w:rFonts w:ascii="Calibri"/>
        <w:i/>
        <w:sz w:val="16"/>
      </w:rPr>
      <w:t>6</w:t>
    </w:r>
    <w:r>
      <w:rPr>
        <w:rFonts w:ascii="Calibri"/>
        <w:i/>
        <w:sz w:val="16"/>
      </w:rPr>
      <w:t>)</w:t>
    </w:r>
  </w:p>
  <w:p w14:paraId="706BEFC5" w14:textId="77777777" w:rsidR="009101FE" w:rsidRDefault="00910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24190"/>
    <w:multiLevelType w:val="hybridMultilevel"/>
    <w:tmpl w:val="C9D4472C"/>
    <w:lvl w:ilvl="0" w:tplc="F9A612AC">
      <w:start w:val="1"/>
      <w:numFmt w:val="decimal"/>
      <w:lvlText w:val="%1."/>
      <w:lvlJc w:val="left"/>
      <w:pPr>
        <w:ind w:left="820" w:hanging="720"/>
        <w:jc w:val="left"/>
      </w:pPr>
      <w:rPr>
        <w:rFonts w:ascii="Times New Roman" w:eastAsia="Times New Roman" w:hAnsi="Times New Roman" w:cs="Times New Roman" w:hint="default"/>
        <w:color w:val="221F1F"/>
        <w:w w:val="97"/>
        <w:sz w:val="24"/>
        <w:szCs w:val="24"/>
      </w:rPr>
    </w:lvl>
    <w:lvl w:ilvl="1" w:tplc="918A0310">
      <w:numFmt w:val="bullet"/>
      <w:lvlText w:val="•"/>
      <w:lvlJc w:val="left"/>
      <w:pPr>
        <w:ind w:left="1692" w:hanging="720"/>
      </w:pPr>
      <w:rPr>
        <w:rFonts w:hint="default"/>
      </w:rPr>
    </w:lvl>
    <w:lvl w:ilvl="2" w:tplc="E9202E3E">
      <w:numFmt w:val="bullet"/>
      <w:lvlText w:val="•"/>
      <w:lvlJc w:val="left"/>
      <w:pPr>
        <w:ind w:left="2564" w:hanging="720"/>
      </w:pPr>
      <w:rPr>
        <w:rFonts w:hint="default"/>
      </w:rPr>
    </w:lvl>
    <w:lvl w:ilvl="3" w:tplc="8D86F408">
      <w:numFmt w:val="bullet"/>
      <w:lvlText w:val="•"/>
      <w:lvlJc w:val="left"/>
      <w:pPr>
        <w:ind w:left="3436" w:hanging="720"/>
      </w:pPr>
      <w:rPr>
        <w:rFonts w:hint="default"/>
      </w:rPr>
    </w:lvl>
    <w:lvl w:ilvl="4" w:tplc="871E1778">
      <w:numFmt w:val="bullet"/>
      <w:lvlText w:val="•"/>
      <w:lvlJc w:val="left"/>
      <w:pPr>
        <w:ind w:left="4308" w:hanging="720"/>
      </w:pPr>
      <w:rPr>
        <w:rFonts w:hint="default"/>
      </w:rPr>
    </w:lvl>
    <w:lvl w:ilvl="5" w:tplc="CD0828BC">
      <w:numFmt w:val="bullet"/>
      <w:lvlText w:val="•"/>
      <w:lvlJc w:val="left"/>
      <w:pPr>
        <w:ind w:left="5180" w:hanging="720"/>
      </w:pPr>
      <w:rPr>
        <w:rFonts w:hint="default"/>
      </w:rPr>
    </w:lvl>
    <w:lvl w:ilvl="6" w:tplc="3CE47F20">
      <w:numFmt w:val="bullet"/>
      <w:lvlText w:val="•"/>
      <w:lvlJc w:val="left"/>
      <w:pPr>
        <w:ind w:left="6052" w:hanging="720"/>
      </w:pPr>
      <w:rPr>
        <w:rFonts w:hint="default"/>
      </w:rPr>
    </w:lvl>
    <w:lvl w:ilvl="7" w:tplc="8C9EEBEA">
      <w:numFmt w:val="bullet"/>
      <w:lvlText w:val="•"/>
      <w:lvlJc w:val="left"/>
      <w:pPr>
        <w:ind w:left="6924" w:hanging="720"/>
      </w:pPr>
      <w:rPr>
        <w:rFonts w:hint="default"/>
      </w:rPr>
    </w:lvl>
    <w:lvl w:ilvl="8" w:tplc="15920A62">
      <w:numFmt w:val="bullet"/>
      <w:lvlText w:val="•"/>
      <w:lvlJc w:val="left"/>
      <w:pPr>
        <w:ind w:left="7796" w:hanging="720"/>
      </w:pPr>
      <w:rPr>
        <w:rFonts w:hint="default"/>
      </w:rPr>
    </w:lvl>
  </w:abstractNum>
  <w:num w:numId="1" w16cid:durableId="168998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29"/>
    <w:rsid w:val="000B7138"/>
    <w:rsid w:val="000E239C"/>
    <w:rsid w:val="000E64B4"/>
    <w:rsid w:val="00107EEA"/>
    <w:rsid w:val="0014273D"/>
    <w:rsid w:val="001827B6"/>
    <w:rsid w:val="0022237E"/>
    <w:rsid w:val="0033317E"/>
    <w:rsid w:val="003D63E7"/>
    <w:rsid w:val="003F16CE"/>
    <w:rsid w:val="00450537"/>
    <w:rsid w:val="00466772"/>
    <w:rsid w:val="00561A3D"/>
    <w:rsid w:val="0057537C"/>
    <w:rsid w:val="006879E3"/>
    <w:rsid w:val="008C1A7B"/>
    <w:rsid w:val="008D179E"/>
    <w:rsid w:val="008E009C"/>
    <w:rsid w:val="008F28D3"/>
    <w:rsid w:val="009101FE"/>
    <w:rsid w:val="009A501F"/>
    <w:rsid w:val="00A52B14"/>
    <w:rsid w:val="00B10D7F"/>
    <w:rsid w:val="00BA1C95"/>
    <w:rsid w:val="00BB39BC"/>
    <w:rsid w:val="00BB4D6C"/>
    <w:rsid w:val="00C53EB7"/>
    <w:rsid w:val="00C67ED8"/>
    <w:rsid w:val="00D44850"/>
    <w:rsid w:val="00DB4A5E"/>
    <w:rsid w:val="00E05AA3"/>
    <w:rsid w:val="00EF7C29"/>
    <w:rsid w:val="00F16177"/>
    <w:rsid w:val="00F43016"/>
    <w:rsid w:val="00F7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EF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7B6"/>
    <w:pPr>
      <w:tabs>
        <w:tab w:val="center" w:pos="4680"/>
        <w:tab w:val="right" w:pos="9360"/>
      </w:tabs>
    </w:pPr>
  </w:style>
  <w:style w:type="character" w:customStyle="1" w:styleId="HeaderChar">
    <w:name w:val="Header Char"/>
    <w:basedOn w:val="DefaultParagraphFont"/>
    <w:link w:val="Header"/>
    <w:uiPriority w:val="99"/>
    <w:rsid w:val="001827B6"/>
    <w:rPr>
      <w:rFonts w:ascii="Times New Roman" w:eastAsia="Times New Roman" w:hAnsi="Times New Roman" w:cs="Times New Roman"/>
    </w:rPr>
  </w:style>
  <w:style w:type="paragraph" w:styleId="Footer">
    <w:name w:val="footer"/>
    <w:basedOn w:val="Normal"/>
    <w:link w:val="FooterChar"/>
    <w:uiPriority w:val="99"/>
    <w:unhideWhenUsed/>
    <w:rsid w:val="001827B6"/>
    <w:pPr>
      <w:tabs>
        <w:tab w:val="center" w:pos="4680"/>
        <w:tab w:val="right" w:pos="9360"/>
      </w:tabs>
    </w:pPr>
  </w:style>
  <w:style w:type="character" w:customStyle="1" w:styleId="FooterChar">
    <w:name w:val="Footer Char"/>
    <w:basedOn w:val="DefaultParagraphFont"/>
    <w:link w:val="Footer"/>
    <w:uiPriority w:val="99"/>
    <w:rsid w:val="001827B6"/>
    <w:rPr>
      <w:rFonts w:ascii="Times New Roman" w:eastAsia="Times New Roman" w:hAnsi="Times New Roman" w:cs="Times New Roman"/>
    </w:rPr>
  </w:style>
  <w:style w:type="paragraph" w:styleId="Revision">
    <w:name w:val="Revision"/>
    <w:hidden/>
    <w:uiPriority w:val="99"/>
    <w:semiHidden/>
    <w:rsid w:val="00F4301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B39BC"/>
    <w:rPr>
      <w:sz w:val="16"/>
      <w:szCs w:val="16"/>
    </w:rPr>
  </w:style>
  <w:style w:type="paragraph" w:styleId="CommentText">
    <w:name w:val="annotation text"/>
    <w:basedOn w:val="Normal"/>
    <w:link w:val="CommentTextChar"/>
    <w:uiPriority w:val="99"/>
    <w:unhideWhenUsed/>
    <w:rsid w:val="00BB39BC"/>
    <w:rPr>
      <w:sz w:val="20"/>
      <w:szCs w:val="20"/>
    </w:rPr>
  </w:style>
  <w:style w:type="character" w:customStyle="1" w:styleId="CommentTextChar">
    <w:name w:val="Comment Text Char"/>
    <w:basedOn w:val="DefaultParagraphFont"/>
    <w:link w:val="CommentText"/>
    <w:uiPriority w:val="99"/>
    <w:rsid w:val="00BB39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39BC"/>
    <w:rPr>
      <w:b/>
      <w:bCs/>
    </w:rPr>
  </w:style>
  <w:style w:type="character" w:customStyle="1" w:styleId="CommentSubjectChar">
    <w:name w:val="Comment Subject Char"/>
    <w:basedOn w:val="CommentTextChar"/>
    <w:link w:val="CommentSubject"/>
    <w:uiPriority w:val="99"/>
    <w:semiHidden/>
    <w:rsid w:val="00BB39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47944">
      <w:bodyDiv w:val="1"/>
      <w:marLeft w:val="0"/>
      <w:marRight w:val="0"/>
      <w:marTop w:val="0"/>
      <w:marBottom w:val="0"/>
      <w:divBdr>
        <w:top w:val="none" w:sz="0" w:space="0" w:color="auto"/>
        <w:left w:val="none" w:sz="0" w:space="0" w:color="auto"/>
        <w:bottom w:val="none" w:sz="0" w:space="0" w:color="auto"/>
        <w:right w:val="none" w:sz="0" w:space="0" w:color="auto"/>
      </w:divBdr>
    </w:div>
    <w:div w:id="1717505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2026-01-26T15:38:00Z</dcterms:created>
  <dcterms:modified xsi:type="dcterms:W3CDTF">2026-01-26T15:38:00Z</dcterms:modified>
</cp:coreProperties>
</file>