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798A5" w14:textId="77777777" w:rsidR="00B65B76" w:rsidRPr="007D6B02" w:rsidRDefault="00B65B76" w:rsidP="00B65B76">
      <w:pPr>
        <w:ind w:firstLine="0"/>
        <w:jc w:val="center"/>
        <w:rPr>
          <w:rFonts w:cs="Times New Roman"/>
          <w:b/>
          <w:u w:val="single"/>
        </w:rPr>
      </w:pPr>
      <w:r w:rsidRPr="007D6B02">
        <w:rPr>
          <w:rFonts w:cs="Times New Roman"/>
          <w:b/>
          <w:u w:val="single"/>
        </w:rPr>
        <w:t>CHAPTER 11 QUARTERLY FEE INSTRUCTIONS</w:t>
      </w:r>
    </w:p>
    <w:p w14:paraId="7547A065" w14:textId="77777777" w:rsidR="00B65B76" w:rsidRPr="007D6B02" w:rsidRDefault="00B65B76" w:rsidP="00B65B76">
      <w:pPr>
        <w:rPr>
          <w:rFonts w:cs="Times New Roman"/>
        </w:rPr>
      </w:pPr>
      <w:r w:rsidRPr="007D6B02">
        <w:rPr>
          <w:rFonts w:cs="Times New Roman"/>
        </w:rPr>
        <w:t>All debtors in chapter 11 cases are assessed quarterly fees pursuant to 28 U.S.C. § 1930(a)</w:t>
      </w:r>
      <w:r w:rsidR="00095EA1">
        <w:rPr>
          <w:rFonts w:cs="Times New Roman"/>
        </w:rPr>
        <w:t>, with the exception of those proceeding under subchapter V</w:t>
      </w:r>
      <w:r w:rsidRPr="007D6B02">
        <w:rPr>
          <w:rFonts w:cs="Times New Roman"/>
        </w:rPr>
        <w:t xml:space="preserve">. Chapter 11 quarterly fees are due and payable for every calendar quarter in which debtor’s case is pending (including any fraction thereof), from the time debtor’s petition is filed until the date of entry of an order dismissing, converting, or closing the case. Chapter 11 quarterly fees are due for a calendar quarter </w:t>
      </w:r>
      <w:r w:rsidRPr="007D6B02">
        <w:rPr>
          <w:rFonts w:cs="Times New Roman"/>
          <w:u w:val="single"/>
        </w:rPr>
        <w:t>even if the case was pending only one day in the quarter</w:t>
      </w:r>
      <w:r w:rsidRPr="007D6B02">
        <w:rPr>
          <w:rFonts w:cs="Times New Roman"/>
        </w:rPr>
        <w:t xml:space="preserve">. This fee is due from each debtor in a chapter 11 case, even if debtor’s case has been administratively consolidated with another chapter 11 case.    </w:t>
      </w:r>
    </w:p>
    <w:p w14:paraId="57E13435" w14:textId="77777777" w:rsidR="00B65B76" w:rsidRPr="007D6B02" w:rsidRDefault="00B65B76" w:rsidP="00B65B76">
      <w:pPr>
        <w:rPr>
          <w:rFonts w:cs="Times New Roman"/>
          <w:b/>
        </w:rPr>
      </w:pPr>
      <w:r w:rsidRPr="007D6B02">
        <w:rPr>
          <w:rFonts w:cs="Times New Roman"/>
          <w:b/>
          <w:u w:val="single"/>
        </w:rPr>
        <w:t>Calculation of Chapter 11 Quarterly Fees</w:t>
      </w:r>
      <w:r w:rsidRPr="007D6B02">
        <w:rPr>
          <w:rFonts w:cs="Times New Roman"/>
          <w:b/>
        </w:rPr>
        <w:t>:</w:t>
      </w:r>
    </w:p>
    <w:p w14:paraId="759CB648" w14:textId="77777777" w:rsidR="00B65B76" w:rsidRPr="007D6B02" w:rsidRDefault="00B65B76" w:rsidP="00B65B76">
      <w:pPr>
        <w:rPr>
          <w:rFonts w:cs="Times New Roman"/>
        </w:rPr>
      </w:pPr>
      <w:r w:rsidRPr="007D6B02">
        <w:rPr>
          <w:rFonts w:cs="Times New Roman"/>
        </w:rPr>
        <w:t>Pursuant to the authority granted in 28 U.S.C. § 1930(a)(7)</w:t>
      </w:r>
      <w:r w:rsidRPr="005F53EA">
        <w:rPr>
          <w:rFonts w:eastAsia="Calibri" w:cs="Times New Roman"/>
          <w:szCs w:val="24"/>
        </w:rPr>
        <w:t>, t</w:t>
      </w:r>
      <w:r w:rsidRPr="007D6B02">
        <w:rPr>
          <w:rFonts w:cs="Times New Roman"/>
        </w:rPr>
        <w:t xml:space="preserve">he Executive Committee of the Judicial Conference of the United States requires uniform quarterly fees in chapter 11 cases filed in Bankruptcy Administrator Districts, such as the Middle District of North Carolina, that are consistent with the fees charged in districts under the United States Trustee Program pursuant to 28 U.S.C. § 1930(a)(6).  </w:t>
      </w:r>
    </w:p>
    <w:p w14:paraId="1809F0FA" w14:textId="77777777" w:rsidR="00B65B76" w:rsidRPr="007D6B02" w:rsidRDefault="00B65B76" w:rsidP="00B65B76">
      <w:pPr>
        <w:rPr>
          <w:rFonts w:cs="Times New Roman"/>
          <w:bCs/>
        </w:rPr>
      </w:pPr>
      <w:r w:rsidRPr="007D6B02">
        <w:rPr>
          <w:rFonts w:cs="Times New Roman"/>
          <w:bCs/>
        </w:rPr>
        <w:t xml:space="preserve">The amount of quarterly fees assessed is calculated based on the total sum of disbursements made by debtor during the calendar quarter. Even if debtor makes no disbursements during a calendar quarter, there is still a minimum quarterly fee that debtor is required to pay. Please note that following confirmation, the total disbursements for purposes of calculating quarterly fees include payments made pursuant to the confirmed plan in addition to any other distributions. </w:t>
      </w:r>
    </w:p>
    <w:p w14:paraId="4D388720" w14:textId="77777777" w:rsidR="00034019" w:rsidRDefault="00B65B76" w:rsidP="00034019">
      <w:pPr>
        <w:rPr>
          <w:rFonts w:cs="Times New Roman"/>
        </w:rPr>
      </w:pPr>
      <w:r w:rsidRPr="007D6B02">
        <w:rPr>
          <w:rFonts w:cs="Times New Roman"/>
        </w:rPr>
        <w:t>The following fee schedule should be used to calculate the applicable quarterly fees due for a quarte</w:t>
      </w:r>
      <w:r w:rsidR="00034019">
        <w:rPr>
          <w:rFonts w:cs="Times New Roman"/>
        </w:rPr>
        <w:t>r:</w:t>
      </w:r>
    </w:p>
    <w:p w14:paraId="496DDF9C" w14:textId="181674B0" w:rsidR="00034019" w:rsidRPr="00034019" w:rsidRDefault="00034019" w:rsidP="00034019">
      <w:pPr>
        <w:ind w:firstLine="0"/>
        <w:rPr>
          <w:rFonts w:cs="Times New Roman"/>
        </w:rPr>
      </w:pPr>
      <w:r w:rsidRPr="00034019">
        <w:rPr>
          <w:rFonts w:cs="Times New Roman"/>
        </w:rPr>
        <w:t xml:space="preserve">This table displays the disbursement ranges and quarterly fees under the amended quarterly fee schedule for calendar quarters beginning April 1, 2021 through December 31, 2025.  </w:t>
      </w:r>
    </w:p>
    <w:tbl>
      <w:tblPr>
        <w:tblStyle w:val="TableGrid2"/>
        <w:tblW w:w="0" w:type="auto"/>
        <w:tblLook w:val="04A0" w:firstRow="1" w:lastRow="0" w:firstColumn="1" w:lastColumn="0" w:noHBand="0" w:noVBand="1"/>
      </w:tblPr>
      <w:tblGrid>
        <w:gridCol w:w="4675"/>
        <w:gridCol w:w="4675"/>
      </w:tblGrid>
      <w:tr w:rsidR="00B65B76" w:rsidRPr="005F53EA" w14:paraId="42E55F28" w14:textId="77777777" w:rsidTr="00C23E3D">
        <w:tc>
          <w:tcPr>
            <w:tcW w:w="4675" w:type="dxa"/>
          </w:tcPr>
          <w:p w14:paraId="378F807F" w14:textId="77777777" w:rsidR="00B65B76" w:rsidRPr="007D6B02" w:rsidRDefault="00B65B76" w:rsidP="00C23E3D">
            <w:pPr>
              <w:ind w:firstLine="0"/>
              <w:rPr>
                <w:rFonts w:cs="Times New Roman"/>
                <w:b/>
              </w:rPr>
            </w:pPr>
            <w:r w:rsidRPr="007D6B02">
              <w:rPr>
                <w:rFonts w:cs="Times New Roman"/>
                <w:b/>
              </w:rPr>
              <w:t>Total Disbursements by Debtor During Quarter</w:t>
            </w:r>
          </w:p>
        </w:tc>
        <w:tc>
          <w:tcPr>
            <w:tcW w:w="4675" w:type="dxa"/>
          </w:tcPr>
          <w:p w14:paraId="174165A6" w14:textId="77777777" w:rsidR="00B65B76" w:rsidRPr="007D6B02" w:rsidRDefault="00B65B76" w:rsidP="00C23E3D">
            <w:pPr>
              <w:ind w:firstLine="0"/>
              <w:rPr>
                <w:rFonts w:cs="Times New Roman"/>
                <w:b/>
              </w:rPr>
            </w:pPr>
            <w:r w:rsidRPr="007D6B02">
              <w:rPr>
                <w:rFonts w:cs="Times New Roman"/>
                <w:b/>
              </w:rPr>
              <w:t>Quarterly Fee Due</w:t>
            </w:r>
          </w:p>
        </w:tc>
      </w:tr>
      <w:tr w:rsidR="00B65B76" w:rsidRPr="005F53EA" w14:paraId="5C2A1AF4" w14:textId="77777777" w:rsidTr="00C23E3D">
        <w:tc>
          <w:tcPr>
            <w:tcW w:w="4675" w:type="dxa"/>
          </w:tcPr>
          <w:p w14:paraId="748050CD" w14:textId="77777777" w:rsidR="00B65B76" w:rsidRPr="007D6B02" w:rsidRDefault="00B65B76" w:rsidP="00C23E3D">
            <w:pPr>
              <w:ind w:firstLine="0"/>
              <w:rPr>
                <w:rFonts w:cs="Times New Roman"/>
              </w:rPr>
            </w:pPr>
            <w:r w:rsidRPr="007D6B02">
              <w:rPr>
                <w:rFonts w:cs="Times New Roman"/>
              </w:rPr>
              <w:t>$0</w:t>
            </w:r>
            <w:r w:rsidR="007A571A">
              <w:rPr>
                <w:rFonts w:cs="Times New Roman"/>
              </w:rPr>
              <w:t xml:space="preserve"> to </w:t>
            </w:r>
            <w:r w:rsidRPr="007D6B02">
              <w:rPr>
                <w:rFonts w:cs="Times New Roman"/>
              </w:rPr>
              <w:t>$</w:t>
            </w:r>
            <w:r w:rsidR="007A571A">
              <w:rPr>
                <w:rFonts w:cs="Times New Roman"/>
              </w:rPr>
              <w:t>62,624</w:t>
            </w:r>
          </w:p>
        </w:tc>
        <w:tc>
          <w:tcPr>
            <w:tcW w:w="4675" w:type="dxa"/>
          </w:tcPr>
          <w:p w14:paraId="79A8CF6A" w14:textId="77777777" w:rsidR="00B65B76" w:rsidRPr="007D6B02" w:rsidRDefault="00B65B76" w:rsidP="00C23E3D">
            <w:pPr>
              <w:ind w:firstLine="0"/>
              <w:rPr>
                <w:rFonts w:cs="Times New Roman"/>
              </w:rPr>
            </w:pPr>
            <w:r w:rsidRPr="007D6B02">
              <w:rPr>
                <w:rFonts w:cs="Times New Roman"/>
              </w:rPr>
              <w:t>$</w:t>
            </w:r>
            <w:r w:rsidR="007A571A">
              <w:rPr>
                <w:rFonts w:cs="Times New Roman"/>
              </w:rPr>
              <w:t>250</w:t>
            </w:r>
          </w:p>
        </w:tc>
      </w:tr>
      <w:tr w:rsidR="00B65B76" w:rsidRPr="005F53EA" w14:paraId="461C303D" w14:textId="77777777" w:rsidTr="00C23E3D">
        <w:tc>
          <w:tcPr>
            <w:tcW w:w="4675" w:type="dxa"/>
          </w:tcPr>
          <w:p w14:paraId="5658EFCF" w14:textId="77777777" w:rsidR="00B65B76" w:rsidRPr="007D6B02" w:rsidRDefault="00B65B76" w:rsidP="00C23E3D">
            <w:pPr>
              <w:ind w:firstLine="0"/>
              <w:rPr>
                <w:rFonts w:cs="Times New Roman"/>
              </w:rPr>
            </w:pPr>
            <w:r w:rsidRPr="007D6B02">
              <w:rPr>
                <w:rFonts w:cs="Times New Roman"/>
              </w:rPr>
              <w:t>$</w:t>
            </w:r>
            <w:r w:rsidR="007A571A">
              <w:rPr>
                <w:rFonts w:cs="Times New Roman"/>
              </w:rPr>
              <w:t>62,625 to $999,999</w:t>
            </w:r>
          </w:p>
        </w:tc>
        <w:tc>
          <w:tcPr>
            <w:tcW w:w="4675" w:type="dxa"/>
          </w:tcPr>
          <w:p w14:paraId="2CF4CAFE" w14:textId="77777777" w:rsidR="00B65B76" w:rsidRPr="007D6B02" w:rsidRDefault="007A571A" w:rsidP="00C23E3D">
            <w:pPr>
              <w:ind w:firstLine="0"/>
              <w:rPr>
                <w:rFonts w:cs="Times New Roman"/>
              </w:rPr>
            </w:pPr>
            <w:r>
              <w:rPr>
                <w:rFonts w:cs="Times New Roman"/>
              </w:rPr>
              <w:t>0.4% of quarterly disbursements</w:t>
            </w:r>
          </w:p>
        </w:tc>
      </w:tr>
      <w:tr w:rsidR="00B65B76" w:rsidRPr="005F53EA" w14:paraId="1D33D4BD" w14:textId="77777777" w:rsidTr="00C23E3D">
        <w:tc>
          <w:tcPr>
            <w:tcW w:w="4675" w:type="dxa"/>
          </w:tcPr>
          <w:p w14:paraId="42737651" w14:textId="77777777" w:rsidR="00B65B76" w:rsidRPr="007D6B02" w:rsidRDefault="00B65B76" w:rsidP="00C23E3D">
            <w:pPr>
              <w:ind w:firstLine="0"/>
              <w:rPr>
                <w:rFonts w:cs="Times New Roman"/>
              </w:rPr>
            </w:pPr>
            <w:r w:rsidRPr="007D6B02">
              <w:rPr>
                <w:rFonts w:cs="Times New Roman"/>
              </w:rPr>
              <w:t>$</w:t>
            </w:r>
            <w:r w:rsidR="007A571A">
              <w:rPr>
                <w:rFonts w:cs="Times New Roman"/>
              </w:rPr>
              <w:t>1,000,000 to $31,249,937</w:t>
            </w:r>
          </w:p>
        </w:tc>
        <w:tc>
          <w:tcPr>
            <w:tcW w:w="4675" w:type="dxa"/>
          </w:tcPr>
          <w:p w14:paraId="628ED951" w14:textId="77777777" w:rsidR="00B65B76" w:rsidRPr="007D6B02" w:rsidRDefault="007A571A" w:rsidP="00C23E3D">
            <w:pPr>
              <w:ind w:firstLine="0"/>
              <w:rPr>
                <w:rFonts w:cs="Times New Roman"/>
              </w:rPr>
            </w:pPr>
            <w:r>
              <w:rPr>
                <w:rFonts w:cs="Times New Roman"/>
              </w:rPr>
              <w:t>0.8% of quarterly disbursements</w:t>
            </w:r>
          </w:p>
        </w:tc>
      </w:tr>
      <w:tr w:rsidR="00B65B76" w:rsidRPr="005F53EA" w14:paraId="4F57CD9E" w14:textId="77777777" w:rsidTr="00C23E3D">
        <w:tc>
          <w:tcPr>
            <w:tcW w:w="4675" w:type="dxa"/>
          </w:tcPr>
          <w:p w14:paraId="6875281B" w14:textId="77777777" w:rsidR="00B65B76" w:rsidRPr="007D6B02" w:rsidRDefault="00B65B76" w:rsidP="00C23E3D">
            <w:pPr>
              <w:ind w:firstLine="0"/>
              <w:rPr>
                <w:rFonts w:cs="Times New Roman"/>
              </w:rPr>
            </w:pPr>
            <w:r w:rsidRPr="007D6B02">
              <w:rPr>
                <w:rFonts w:cs="Times New Roman"/>
              </w:rPr>
              <w:t>$</w:t>
            </w:r>
            <w:r w:rsidR="007A571A">
              <w:rPr>
                <w:rFonts w:cs="Times New Roman"/>
              </w:rPr>
              <w:t>31,249,938 or more</w:t>
            </w:r>
          </w:p>
        </w:tc>
        <w:tc>
          <w:tcPr>
            <w:tcW w:w="4675" w:type="dxa"/>
          </w:tcPr>
          <w:p w14:paraId="71907EA7" w14:textId="77777777" w:rsidR="00B65B76" w:rsidRPr="007D6B02" w:rsidRDefault="00B65B76" w:rsidP="00C23E3D">
            <w:pPr>
              <w:ind w:firstLine="0"/>
              <w:rPr>
                <w:rFonts w:cs="Times New Roman"/>
              </w:rPr>
            </w:pPr>
            <w:r w:rsidRPr="007D6B02">
              <w:rPr>
                <w:rFonts w:cs="Times New Roman"/>
              </w:rPr>
              <w:t>$</w:t>
            </w:r>
            <w:r w:rsidR="007A571A">
              <w:rPr>
                <w:rFonts w:cs="Times New Roman"/>
              </w:rPr>
              <w:t>250,000</w:t>
            </w:r>
          </w:p>
        </w:tc>
      </w:tr>
    </w:tbl>
    <w:p w14:paraId="76781776" w14:textId="77777777" w:rsidR="00B65B76" w:rsidRDefault="00B65B76" w:rsidP="007A571A">
      <w:pPr>
        <w:spacing w:before="240" w:after="0"/>
        <w:rPr>
          <w:rFonts w:cs="Times New Roman"/>
        </w:rPr>
      </w:pPr>
      <w:r w:rsidRPr="007D6B02">
        <w:rPr>
          <w:rFonts w:cs="Times New Roman"/>
        </w:rPr>
        <w:t xml:space="preserve">If there is a change to this fee schedule during the pendency of a chapter 11 case, the </w:t>
      </w:r>
      <w:r w:rsidR="00095EA1">
        <w:rPr>
          <w:rFonts w:cs="Times New Roman"/>
        </w:rPr>
        <w:t xml:space="preserve">United States </w:t>
      </w:r>
      <w:r w:rsidRPr="007D6B02">
        <w:rPr>
          <w:rFonts w:cs="Times New Roman"/>
        </w:rPr>
        <w:t xml:space="preserve">Bankruptcy Administrator </w:t>
      </w:r>
      <w:r w:rsidR="00095EA1">
        <w:rPr>
          <w:rFonts w:cs="Times New Roman"/>
        </w:rPr>
        <w:t xml:space="preserve">for the Middle District of North Carolina (the “Bankruptcy Administrator”) </w:t>
      </w:r>
      <w:r w:rsidRPr="007D6B02">
        <w:rPr>
          <w:rFonts w:cs="Times New Roman"/>
        </w:rPr>
        <w:t>will communicate such change to debtor’s counsel, or to debtor if debtor is unrepresented.</w:t>
      </w:r>
    </w:p>
    <w:p w14:paraId="78290DBD" w14:textId="77777777" w:rsidR="007A571A" w:rsidRDefault="007A571A" w:rsidP="007A571A">
      <w:pPr>
        <w:spacing w:before="240" w:after="0"/>
        <w:rPr>
          <w:rFonts w:cs="Times New Roman"/>
        </w:rPr>
      </w:pPr>
    </w:p>
    <w:p w14:paraId="5A00FFDF" w14:textId="77777777" w:rsidR="00B65B76" w:rsidRPr="00E62A01" w:rsidRDefault="00B65B76" w:rsidP="00B65B76">
      <w:pPr>
        <w:rPr>
          <w:rFonts w:cs="Times New Roman"/>
          <w:b/>
        </w:rPr>
      </w:pPr>
      <w:r w:rsidRPr="00E62A01">
        <w:rPr>
          <w:rFonts w:cs="Times New Roman"/>
          <w:b/>
          <w:u w:val="single"/>
        </w:rPr>
        <w:t>Chapter 11 Quarterly Fee Due Dates</w:t>
      </w:r>
      <w:r w:rsidRPr="00E62A01">
        <w:rPr>
          <w:rFonts w:cs="Times New Roman"/>
          <w:b/>
        </w:rPr>
        <w:t>:</w:t>
      </w:r>
    </w:p>
    <w:p w14:paraId="736503B9" w14:textId="77777777" w:rsidR="00B65B76" w:rsidRPr="00E62A01" w:rsidRDefault="00B65B76" w:rsidP="00B65B76">
      <w:pPr>
        <w:rPr>
          <w:rFonts w:cs="Times New Roman"/>
          <w:b/>
        </w:rPr>
      </w:pPr>
      <w:r w:rsidRPr="00E62A01">
        <w:rPr>
          <w:rFonts w:cs="Times New Roman"/>
        </w:rPr>
        <w:t xml:space="preserve">The following chart shows the due dates for quarterly fee payments. </w:t>
      </w:r>
      <w:r w:rsidRPr="00E62A01">
        <w:rPr>
          <w:rFonts w:cs="Times New Roman"/>
          <w:b/>
        </w:rPr>
        <w:t xml:space="preserve">Please note that debtor will NOT receive a bill or reminder of the payment due date. It is debtor’s independent duty to ensure all quarterly fees are paid on or before the due date.  </w:t>
      </w:r>
    </w:p>
    <w:tbl>
      <w:tblPr>
        <w:tblStyle w:val="TableGrid2"/>
        <w:tblW w:w="0" w:type="auto"/>
        <w:tblLook w:val="04A0" w:firstRow="1" w:lastRow="0" w:firstColumn="1" w:lastColumn="0" w:noHBand="0" w:noVBand="1"/>
      </w:tblPr>
      <w:tblGrid>
        <w:gridCol w:w="4675"/>
        <w:gridCol w:w="4675"/>
      </w:tblGrid>
      <w:tr w:rsidR="00B65B76" w:rsidRPr="00E62A01" w14:paraId="07E05E08" w14:textId="77777777" w:rsidTr="00C23E3D">
        <w:tc>
          <w:tcPr>
            <w:tcW w:w="4675" w:type="dxa"/>
          </w:tcPr>
          <w:p w14:paraId="054CB7C3" w14:textId="77777777" w:rsidR="00B65B76" w:rsidRPr="00E62A01" w:rsidRDefault="00B65B76" w:rsidP="00C23E3D">
            <w:pPr>
              <w:ind w:firstLine="0"/>
              <w:rPr>
                <w:rFonts w:cs="Times New Roman"/>
                <w:b/>
              </w:rPr>
            </w:pPr>
            <w:r w:rsidRPr="00E62A01">
              <w:rPr>
                <w:rFonts w:cs="Times New Roman"/>
                <w:b/>
              </w:rPr>
              <w:t>Calendar Quarter</w:t>
            </w:r>
          </w:p>
        </w:tc>
        <w:tc>
          <w:tcPr>
            <w:tcW w:w="4675" w:type="dxa"/>
          </w:tcPr>
          <w:p w14:paraId="6B326883" w14:textId="77777777" w:rsidR="00B65B76" w:rsidRPr="00E62A01" w:rsidRDefault="00B65B76" w:rsidP="00C23E3D">
            <w:pPr>
              <w:ind w:firstLine="0"/>
              <w:rPr>
                <w:rFonts w:cs="Times New Roman"/>
                <w:b/>
              </w:rPr>
            </w:pPr>
            <w:r w:rsidRPr="00E62A01">
              <w:rPr>
                <w:rFonts w:cs="Times New Roman"/>
                <w:b/>
              </w:rPr>
              <w:t>Chapter 11 Quarterly Fee Payment Due</w:t>
            </w:r>
          </w:p>
        </w:tc>
      </w:tr>
      <w:tr w:rsidR="00B65B76" w:rsidRPr="00E62A01" w14:paraId="5D468883" w14:textId="77777777" w:rsidTr="00C23E3D">
        <w:tc>
          <w:tcPr>
            <w:tcW w:w="4675" w:type="dxa"/>
          </w:tcPr>
          <w:p w14:paraId="458416DF" w14:textId="77777777" w:rsidR="00B65B76" w:rsidRPr="00E62A01" w:rsidRDefault="00B65B76" w:rsidP="00C23E3D">
            <w:pPr>
              <w:ind w:firstLine="0"/>
              <w:rPr>
                <w:rFonts w:cs="Times New Roman"/>
              </w:rPr>
            </w:pPr>
            <w:r w:rsidRPr="00E62A01">
              <w:rPr>
                <w:rFonts w:cs="Times New Roman"/>
              </w:rPr>
              <w:t>January 1-March 31</w:t>
            </w:r>
          </w:p>
        </w:tc>
        <w:tc>
          <w:tcPr>
            <w:tcW w:w="4675" w:type="dxa"/>
          </w:tcPr>
          <w:p w14:paraId="776E4B2A" w14:textId="77777777" w:rsidR="00B65B76" w:rsidRPr="00E62A01" w:rsidRDefault="00B65B76" w:rsidP="00C23E3D">
            <w:pPr>
              <w:ind w:firstLine="0"/>
              <w:rPr>
                <w:rFonts w:cs="Times New Roman"/>
              </w:rPr>
            </w:pPr>
            <w:r w:rsidRPr="00E62A01">
              <w:rPr>
                <w:rFonts w:cs="Times New Roman"/>
              </w:rPr>
              <w:t>April 30</w:t>
            </w:r>
          </w:p>
        </w:tc>
      </w:tr>
      <w:tr w:rsidR="00B65B76" w:rsidRPr="00E62A01" w14:paraId="04826487" w14:textId="77777777" w:rsidTr="00C23E3D">
        <w:tc>
          <w:tcPr>
            <w:tcW w:w="4675" w:type="dxa"/>
          </w:tcPr>
          <w:p w14:paraId="75EFE5F9" w14:textId="77777777" w:rsidR="00B65B76" w:rsidRPr="00E62A01" w:rsidRDefault="00B65B76" w:rsidP="00C23E3D">
            <w:pPr>
              <w:ind w:firstLine="0"/>
              <w:rPr>
                <w:rFonts w:cs="Times New Roman"/>
              </w:rPr>
            </w:pPr>
            <w:r w:rsidRPr="00E62A01">
              <w:rPr>
                <w:rFonts w:cs="Times New Roman"/>
              </w:rPr>
              <w:t>April 1-June 30</w:t>
            </w:r>
          </w:p>
        </w:tc>
        <w:tc>
          <w:tcPr>
            <w:tcW w:w="4675" w:type="dxa"/>
          </w:tcPr>
          <w:p w14:paraId="0F56803D" w14:textId="77777777" w:rsidR="00B65B76" w:rsidRPr="00E62A01" w:rsidRDefault="00B65B76" w:rsidP="00C23E3D">
            <w:pPr>
              <w:ind w:firstLine="0"/>
              <w:rPr>
                <w:rFonts w:cs="Times New Roman"/>
              </w:rPr>
            </w:pPr>
            <w:r w:rsidRPr="00E62A01">
              <w:rPr>
                <w:rFonts w:cs="Times New Roman"/>
              </w:rPr>
              <w:t>July 31</w:t>
            </w:r>
          </w:p>
        </w:tc>
      </w:tr>
      <w:tr w:rsidR="00B65B76" w:rsidRPr="00E62A01" w14:paraId="57CF2CA9" w14:textId="77777777" w:rsidTr="00C23E3D">
        <w:tc>
          <w:tcPr>
            <w:tcW w:w="4675" w:type="dxa"/>
          </w:tcPr>
          <w:p w14:paraId="195743A5" w14:textId="77777777" w:rsidR="00B65B76" w:rsidRPr="00E62A01" w:rsidRDefault="00B65B76" w:rsidP="00C23E3D">
            <w:pPr>
              <w:ind w:firstLine="0"/>
              <w:rPr>
                <w:rFonts w:cs="Times New Roman"/>
              </w:rPr>
            </w:pPr>
            <w:r w:rsidRPr="00E62A01">
              <w:rPr>
                <w:rFonts w:cs="Times New Roman"/>
              </w:rPr>
              <w:t>July 1-September 30</w:t>
            </w:r>
          </w:p>
        </w:tc>
        <w:tc>
          <w:tcPr>
            <w:tcW w:w="4675" w:type="dxa"/>
            <w:tcBorders>
              <w:bottom w:val="single" w:sz="4" w:space="0" w:color="auto"/>
            </w:tcBorders>
          </w:tcPr>
          <w:p w14:paraId="43CAD80C" w14:textId="77777777" w:rsidR="00B65B76" w:rsidRPr="00E62A01" w:rsidRDefault="00B65B76" w:rsidP="00C23E3D">
            <w:pPr>
              <w:ind w:firstLine="0"/>
              <w:rPr>
                <w:rFonts w:cs="Times New Roman"/>
              </w:rPr>
            </w:pPr>
            <w:r w:rsidRPr="00E62A01">
              <w:rPr>
                <w:rFonts w:cs="Times New Roman"/>
              </w:rPr>
              <w:t>October 31</w:t>
            </w:r>
          </w:p>
        </w:tc>
      </w:tr>
      <w:tr w:rsidR="00B65B76" w:rsidRPr="00E62A01" w14:paraId="216221BB" w14:textId="77777777" w:rsidTr="00C23E3D">
        <w:tc>
          <w:tcPr>
            <w:tcW w:w="4675" w:type="dxa"/>
          </w:tcPr>
          <w:p w14:paraId="41F1233D" w14:textId="77777777" w:rsidR="00B65B76" w:rsidRPr="00E62A01" w:rsidRDefault="00B65B76" w:rsidP="00C23E3D">
            <w:pPr>
              <w:ind w:firstLine="0"/>
              <w:rPr>
                <w:rFonts w:cs="Times New Roman"/>
              </w:rPr>
            </w:pPr>
            <w:r w:rsidRPr="00E62A01">
              <w:rPr>
                <w:rFonts w:cs="Times New Roman"/>
              </w:rPr>
              <w:t>October 1-December</w:t>
            </w:r>
            <w:r>
              <w:rPr>
                <w:rFonts w:cs="Times New Roman"/>
              </w:rPr>
              <w:t xml:space="preserve"> </w:t>
            </w:r>
            <w:r w:rsidRPr="00E62A01">
              <w:rPr>
                <w:rFonts w:cs="Times New Roman"/>
              </w:rPr>
              <w:t>31</w:t>
            </w:r>
          </w:p>
        </w:tc>
        <w:tc>
          <w:tcPr>
            <w:tcW w:w="4675" w:type="dxa"/>
            <w:tcBorders>
              <w:bottom w:val="single" w:sz="4" w:space="0" w:color="auto"/>
            </w:tcBorders>
          </w:tcPr>
          <w:p w14:paraId="5AE1BED0" w14:textId="77777777" w:rsidR="00B65B76" w:rsidRPr="00E62A01" w:rsidRDefault="00B65B76" w:rsidP="00C23E3D">
            <w:pPr>
              <w:ind w:firstLine="0"/>
              <w:rPr>
                <w:rFonts w:cs="Times New Roman"/>
              </w:rPr>
            </w:pPr>
            <w:r w:rsidRPr="00E62A01">
              <w:rPr>
                <w:rFonts w:cs="Times New Roman"/>
              </w:rPr>
              <w:t>January 31</w:t>
            </w:r>
          </w:p>
        </w:tc>
      </w:tr>
    </w:tbl>
    <w:p w14:paraId="4CB4D98D" w14:textId="77777777" w:rsidR="00B65B76" w:rsidRPr="00E62A01" w:rsidRDefault="00B65B76" w:rsidP="00B65B76">
      <w:pPr>
        <w:rPr>
          <w:rFonts w:cs="Times New Roman"/>
        </w:rPr>
      </w:pPr>
    </w:p>
    <w:p w14:paraId="510ACF29" w14:textId="77777777" w:rsidR="00B65B76" w:rsidRPr="00E62A01" w:rsidRDefault="00B65B76" w:rsidP="00B65B76">
      <w:pPr>
        <w:rPr>
          <w:rFonts w:cs="Times New Roman"/>
          <w:b/>
        </w:rPr>
      </w:pPr>
      <w:r w:rsidRPr="00E62A01">
        <w:rPr>
          <w:rFonts w:cs="Times New Roman"/>
          <w:b/>
          <w:u w:val="single"/>
        </w:rPr>
        <w:t>Payment Instructions</w:t>
      </w:r>
      <w:r w:rsidRPr="00E62A01">
        <w:rPr>
          <w:rFonts w:cs="Times New Roman"/>
          <w:b/>
        </w:rPr>
        <w:t>:</w:t>
      </w:r>
    </w:p>
    <w:p w14:paraId="26BA490A" w14:textId="77777777" w:rsidR="00B65B76" w:rsidRPr="00E62A01" w:rsidRDefault="00B65B76" w:rsidP="00B65B76">
      <w:pPr>
        <w:rPr>
          <w:rFonts w:cs="Times New Roman"/>
        </w:rPr>
      </w:pPr>
      <w:r w:rsidRPr="00E62A01">
        <w:rPr>
          <w:rFonts w:cs="Times New Roman"/>
        </w:rPr>
        <w:t>Please make all checks payable to “Clerk, U.S. Bankruptcy Court” and make sure debtor’s case number is noted on the face of the check. Payments should be either mailed to or made in person at the Court</w:t>
      </w:r>
      <w:r>
        <w:rPr>
          <w:rFonts w:cs="Times New Roman"/>
        </w:rPr>
        <w:t>’</w:t>
      </w:r>
      <w:r w:rsidRPr="00E62A01">
        <w:rPr>
          <w:rFonts w:cs="Times New Roman"/>
        </w:rPr>
        <w:t>s Greensboro office (regardless of the division in which the case is pending), at the following address:</w:t>
      </w:r>
    </w:p>
    <w:p w14:paraId="5390C2BF" w14:textId="77777777" w:rsidR="00B65B76" w:rsidRPr="00E62A01" w:rsidRDefault="00B65B76" w:rsidP="00B65B76">
      <w:pPr>
        <w:spacing w:after="0"/>
        <w:ind w:left="2520"/>
        <w:rPr>
          <w:rFonts w:cs="Times New Roman"/>
        </w:rPr>
      </w:pPr>
      <w:r w:rsidRPr="00E62A01">
        <w:rPr>
          <w:rFonts w:cs="Times New Roman"/>
        </w:rPr>
        <w:t>United States Bankruptcy Court</w:t>
      </w:r>
    </w:p>
    <w:p w14:paraId="738C097A" w14:textId="77777777" w:rsidR="00B65B76" w:rsidRPr="00E62A01" w:rsidRDefault="00B65B76" w:rsidP="00B65B76">
      <w:pPr>
        <w:spacing w:after="0"/>
        <w:ind w:left="2520"/>
        <w:rPr>
          <w:rFonts w:cs="Times New Roman"/>
        </w:rPr>
      </w:pPr>
      <w:r w:rsidRPr="00E62A01">
        <w:rPr>
          <w:rFonts w:cs="Times New Roman"/>
        </w:rPr>
        <w:t>Attn: Clerk’s Office</w:t>
      </w:r>
    </w:p>
    <w:p w14:paraId="5E548355" w14:textId="77777777" w:rsidR="00B65B76" w:rsidRPr="00E62A01" w:rsidRDefault="00B65B76" w:rsidP="00B65B76">
      <w:pPr>
        <w:spacing w:after="0"/>
        <w:ind w:left="2520"/>
        <w:rPr>
          <w:rFonts w:cs="Times New Roman"/>
        </w:rPr>
      </w:pPr>
      <w:r w:rsidRPr="00E62A01">
        <w:rPr>
          <w:rFonts w:cs="Times New Roman"/>
        </w:rPr>
        <w:t>101 S. Edgeworth St.</w:t>
      </w:r>
    </w:p>
    <w:p w14:paraId="6B3F3103" w14:textId="77777777" w:rsidR="00B65B76" w:rsidRPr="00E62A01" w:rsidRDefault="00B65B76" w:rsidP="00B65B76">
      <w:pPr>
        <w:spacing w:after="0"/>
        <w:ind w:left="2520"/>
        <w:rPr>
          <w:rFonts w:cs="Times New Roman"/>
        </w:rPr>
      </w:pPr>
      <w:r w:rsidRPr="00E62A01">
        <w:rPr>
          <w:rFonts w:cs="Times New Roman"/>
        </w:rPr>
        <w:t>Greensboro, NC 27401</w:t>
      </w:r>
    </w:p>
    <w:p w14:paraId="724837D3" w14:textId="77777777" w:rsidR="00B65B76" w:rsidRPr="00E62A01" w:rsidRDefault="00B65B76" w:rsidP="00B65B76">
      <w:pPr>
        <w:spacing w:after="0"/>
        <w:ind w:left="2520"/>
        <w:rPr>
          <w:rFonts w:cs="Times New Roman"/>
        </w:rPr>
      </w:pPr>
    </w:p>
    <w:p w14:paraId="57927DAE" w14:textId="77777777" w:rsidR="00B65B76" w:rsidRPr="00E62A01" w:rsidRDefault="00B65B76" w:rsidP="00B65B76">
      <w:pPr>
        <w:spacing w:after="0"/>
        <w:rPr>
          <w:rFonts w:cs="Times New Roman"/>
        </w:rPr>
      </w:pPr>
      <w:r w:rsidRPr="00E62A01">
        <w:rPr>
          <w:rFonts w:cs="Times New Roman"/>
        </w:rPr>
        <w:t xml:space="preserve">If any check is returned for insufficient funds, all future quarterly fee payments must be made by cashier’s check, certified funds, or postal money order.  </w:t>
      </w:r>
    </w:p>
    <w:p w14:paraId="29EC68EF" w14:textId="77777777" w:rsidR="00B65B76" w:rsidRPr="00E62A01" w:rsidRDefault="00B65B76" w:rsidP="00B65B76">
      <w:pPr>
        <w:rPr>
          <w:rFonts w:cs="Times New Roman"/>
          <w:b/>
          <w:u w:val="single"/>
        </w:rPr>
      </w:pPr>
    </w:p>
    <w:p w14:paraId="6D8261CD" w14:textId="77777777" w:rsidR="00B65B76" w:rsidRPr="00E62A01" w:rsidRDefault="00B65B76" w:rsidP="00B65B76">
      <w:pPr>
        <w:rPr>
          <w:rFonts w:cs="Times New Roman"/>
          <w:b/>
        </w:rPr>
      </w:pPr>
      <w:r w:rsidRPr="00E62A01">
        <w:rPr>
          <w:rFonts w:cs="Times New Roman"/>
          <w:b/>
          <w:u w:val="single"/>
        </w:rPr>
        <w:t>Required Quarterly Fee Statements</w:t>
      </w:r>
      <w:r w:rsidRPr="00E62A01">
        <w:rPr>
          <w:rFonts w:cs="Times New Roman"/>
          <w:b/>
        </w:rPr>
        <w:t>:</w:t>
      </w:r>
    </w:p>
    <w:p w14:paraId="3DEEF287" w14:textId="77777777" w:rsidR="00B65B76" w:rsidRPr="00E62A01" w:rsidRDefault="006A2317" w:rsidP="00B65B76">
      <w:pPr>
        <w:spacing w:after="0"/>
        <w:rPr>
          <w:rFonts w:cs="Times New Roman"/>
        </w:rPr>
      </w:pPr>
      <w:r>
        <w:rPr>
          <w:rFonts w:cs="Times New Roman"/>
          <w:bCs/>
        </w:rPr>
        <w:t xml:space="preserve">With the exception of those proceeding under subchapter V, </w:t>
      </w:r>
      <w:r w:rsidR="00B65B76" w:rsidRPr="00E62A01">
        <w:rPr>
          <w:rFonts w:cs="Times New Roman"/>
          <w:bCs/>
        </w:rPr>
        <w:t>Federal Rule of B</w:t>
      </w:r>
      <w:r w:rsidR="00B65B76">
        <w:rPr>
          <w:rFonts w:cs="Times New Roman"/>
          <w:bCs/>
        </w:rPr>
        <w:t xml:space="preserve">ankruptcy Procedure 2015(a)(5) </w:t>
      </w:r>
      <w:r w:rsidR="00B65B76" w:rsidRPr="00E62A01">
        <w:rPr>
          <w:rFonts w:cs="Times New Roman"/>
          <w:bCs/>
        </w:rPr>
        <w:t>requires each chapter 11 debtor</w:t>
      </w:r>
      <w:r w:rsidR="00433EE6">
        <w:rPr>
          <w:rFonts w:cs="Times New Roman"/>
          <w:bCs/>
        </w:rPr>
        <w:t xml:space="preserve"> </w:t>
      </w:r>
      <w:r w:rsidR="00B65B76" w:rsidRPr="00E62A01">
        <w:rPr>
          <w:rFonts w:cs="Times New Roman"/>
          <w:bCs/>
        </w:rPr>
        <w:t xml:space="preserve">to file a </w:t>
      </w:r>
      <w:r w:rsidR="00095EA1">
        <w:rPr>
          <w:rFonts w:cs="Times New Roman"/>
          <w:bCs/>
        </w:rPr>
        <w:t>c</w:t>
      </w:r>
      <w:r w:rsidR="00B65B76" w:rsidRPr="00E62A01">
        <w:rPr>
          <w:rFonts w:cs="Times New Roman"/>
          <w:bCs/>
        </w:rPr>
        <w:t xml:space="preserve">hapter 11 </w:t>
      </w:r>
      <w:r w:rsidR="00095EA1">
        <w:rPr>
          <w:rFonts w:cs="Times New Roman"/>
          <w:bCs/>
        </w:rPr>
        <w:t>q</w:t>
      </w:r>
      <w:r w:rsidR="00B65B76" w:rsidRPr="00E62A01">
        <w:rPr>
          <w:rFonts w:cs="Times New Roman"/>
          <w:bCs/>
        </w:rPr>
        <w:t xml:space="preserve">uarterly </w:t>
      </w:r>
      <w:r w:rsidR="00095EA1">
        <w:rPr>
          <w:rFonts w:cs="Times New Roman"/>
          <w:bCs/>
        </w:rPr>
        <w:t>f</w:t>
      </w:r>
      <w:r w:rsidR="00B65B76" w:rsidRPr="00E62A01">
        <w:rPr>
          <w:rFonts w:cs="Times New Roman"/>
          <w:bCs/>
        </w:rPr>
        <w:t xml:space="preserve">ee </w:t>
      </w:r>
      <w:r w:rsidR="00095EA1">
        <w:rPr>
          <w:rFonts w:cs="Times New Roman"/>
          <w:bCs/>
        </w:rPr>
        <w:t>s</w:t>
      </w:r>
      <w:r w:rsidR="00B65B76" w:rsidRPr="00E62A01">
        <w:rPr>
          <w:rFonts w:cs="Times New Roman"/>
          <w:bCs/>
        </w:rPr>
        <w:t xml:space="preserve">tatement with the Court on or before the last day of the month that follows each calendar quarter during which debtor has a duty to pay quarterly fees. Chapter 11 </w:t>
      </w:r>
      <w:r w:rsidR="00095EA1">
        <w:rPr>
          <w:rFonts w:cs="Times New Roman"/>
          <w:bCs/>
        </w:rPr>
        <w:t>q</w:t>
      </w:r>
      <w:r w:rsidR="00B65B76" w:rsidRPr="00E62A01">
        <w:rPr>
          <w:rFonts w:cs="Times New Roman"/>
          <w:bCs/>
        </w:rPr>
        <w:t xml:space="preserve">uarterly </w:t>
      </w:r>
      <w:r w:rsidR="00095EA1">
        <w:rPr>
          <w:rFonts w:cs="Times New Roman"/>
          <w:bCs/>
        </w:rPr>
        <w:t>f</w:t>
      </w:r>
      <w:r w:rsidR="00B65B76" w:rsidRPr="00E62A01">
        <w:rPr>
          <w:rFonts w:cs="Times New Roman"/>
          <w:bCs/>
        </w:rPr>
        <w:t xml:space="preserve">ee </w:t>
      </w:r>
      <w:r w:rsidR="00095EA1">
        <w:rPr>
          <w:rFonts w:cs="Times New Roman"/>
          <w:bCs/>
        </w:rPr>
        <w:t>s</w:t>
      </w:r>
      <w:r w:rsidR="00B65B76" w:rsidRPr="00E62A01">
        <w:rPr>
          <w:rFonts w:cs="Times New Roman"/>
          <w:bCs/>
        </w:rPr>
        <w:t>tatements should be in the format attached hereto</w:t>
      </w:r>
      <w:r w:rsidR="009B6548">
        <w:rPr>
          <w:rFonts w:cs="Times New Roman"/>
          <w:bCs/>
        </w:rPr>
        <w:t xml:space="preserve"> (the “Chapter 11 Quarterly Fee Statement”)</w:t>
      </w:r>
      <w:r w:rsidR="00B65B76" w:rsidRPr="00E62A01">
        <w:rPr>
          <w:rFonts w:cs="Times New Roman"/>
          <w:bCs/>
        </w:rPr>
        <w:t xml:space="preserve">. Since chapter 11 debtors </w:t>
      </w:r>
      <w:r w:rsidR="00433EE6">
        <w:rPr>
          <w:rFonts w:cs="Times New Roman"/>
          <w:bCs/>
        </w:rPr>
        <w:t xml:space="preserve">who must pay fees </w:t>
      </w:r>
      <w:r w:rsidR="00B65B76" w:rsidRPr="00E62A01">
        <w:rPr>
          <w:rFonts w:cs="Times New Roman"/>
          <w:bCs/>
        </w:rPr>
        <w:t xml:space="preserve">have a duty to </w:t>
      </w:r>
      <w:r w:rsidR="00433EE6">
        <w:rPr>
          <w:rFonts w:cs="Times New Roman"/>
          <w:bCs/>
        </w:rPr>
        <w:t xml:space="preserve">do so </w:t>
      </w:r>
      <w:r w:rsidR="00B65B76" w:rsidRPr="00E62A01">
        <w:rPr>
          <w:rFonts w:cs="Times New Roman"/>
          <w:bCs/>
        </w:rPr>
        <w:t xml:space="preserve">until the date of the </w:t>
      </w:r>
      <w:r w:rsidR="00B65B76" w:rsidRPr="00E62A01">
        <w:rPr>
          <w:rFonts w:cs="Times New Roman"/>
        </w:rPr>
        <w:t xml:space="preserve">entry of an order dismissing, converting, or closing the case, a chapter 11 debtor must continue to file </w:t>
      </w:r>
      <w:r w:rsidR="00095EA1">
        <w:rPr>
          <w:rFonts w:cs="Times New Roman"/>
          <w:bCs/>
        </w:rPr>
        <w:t>q</w:t>
      </w:r>
      <w:r w:rsidR="00B65B76" w:rsidRPr="00E62A01">
        <w:rPr>
          <w:rFonts w:cs="Times New Roman"/>
          <w:bCs/>
        </w:rPr>
        <w:t xml:space="preserve">uarterly </w:t>
      </w:r>
      <w:r w:rsidR="00095EA1">
        <w:rPr>
          <w:rFonts w:cs="Times New Roman"/>
          <w:bCs/>
        </w:rPr>
        <w:t>f</w:t>
      </w:r>
      <w:r w:rsidR="00B65B76" w:rsidRPr="00E62A01">
        <w:rPr>
          <w:rFonts w:cs="Times New Roman"/>
          <w:bCs/>
        </w:rPr>
        <w:t xml:space="preserve">ee </w:t>
      </w:r>
      <w:r w:rsidR="00095EA1">
        <w:rPr>
          <w:rFonts w:cs="Times New Roman"/>
          <w:bCs/>
        </w:rPr>
        <w:t>s</w:t>
      </w:r>
      <w:r w:rsidR="00B65B76" w:rsidRPr="00E62A01">
        <w:rPr>
          <w:rFonts w:cs="Times New Roman"/>
          <w:bCs/>
        </w:rPr>
        <w:t>tatements</w:t>
      </w:r>
      <w:r w:rsidR="00B65B76" w:rsidRPr="00E62A01">
        <w:rPr>
          <w:rFonts w:cs="Times New Roman"/>
        </w:rPr>
        <w:t xml:space="preserve"> fol</w:t>
      </w:r>
      <w:r w:rsidR="00ED2753">
        <w:rPr>
          <w:rFonts w:cs="Times New Roman"/>
        </w:rPr>
        <w:t xml:space="preserve">lowing confirmation of a plan. </w:t>
      </w:r>
      <w:r w:rsidR="009B6548">
        <w:rPr>
          <w:rFonts w:cs="Times New Roman"/>
        </w:rPr>
        <w:t>Each</w:t>
      </w:r>
      <w:r w:rsidR="00ED2753">
        <w:rPr>
          <w:rFonts w:cs="Times New Roman"/>
        </w:rPr>
        <w:t xml:space="preserve"> quarterly fee statement shall be filed on the docket at the time the fee is paid.</w:t>
      </w:r>
    </w:p>
    <w:p w14:paraId="12DB0507" w14:textId="77777777" w:rsidR="00B65B76" w:rsidRPr="00E62A01" w:rsidRDefault="00B65B76" w:rsidP="00B65B76">
      <w:pPr>
        <w:rPr>
          <w:rFonts w:cs="Times New Roman"/>
          <w:b/>
          <w:u w:val="single"/>
        </w:rPr>
      </w:pPr>
    </w:p>
    <w:p w14:paraId="775CAB2A" w14:textId="77777777" w:rsidR="00B65B76" w:rsidRPr="00E62A01" w:rsidRDefault="00B65B76" w:rsidP="00B65B76">
      <w:pPr>
        <w:rPr>
          <w:rFonts w:cs="Times New Roman"/>
          <w:b/>
        </w:rPr>
      </w:pPr>
      <w:r w:rsidRPr="00E62A01">
        <w:rPr>
          <w:rFonts w:cs="Times New Roman"/>
          <w:b/>
          <w:u w:val="single"/>
        </w:rPr>
        <w:lastRenderedPageBreak/>
        <w:t>Consequences of Non-Payment of Chapter 11 Quarterly Fees</w:t>
      </w:r>
      <w:r w:rsidRPr="00E62A01">
        <w:rPr>
          <w:rFonts w:cs="Times New Roman"/>
          <w:b/>
        </w:rPr>
        <w:t>:</w:t>
      </w:r>
    </w:p>
    <w:p w14:paraId="391F715B" w14:textId="77777777" w:rsidR="00B65B76" w:rsidRPr="00E62A01" w:rsidRDefault="00B65B76" w:rsidP="00B65B76">
      <w:pPr>
        <w:rPr>
          <w:rFonts w:cs="Times New Roman"/>
          <w:bCs/>
        </w:rPr>
      </w:pPr>
      <w:r w:rsidRPr="00E62A01">
        <w:rPr>
          <w:rFonts w:cs="Times New Roman"/>
        </w:rPr>
        <w:t>Please take note that a chapter 11 debtor’s failure to pay quarterly fees pursuant to 28 U.S.C. § 1930 has significant legal consequences.</w:t>
      </w:r>
    </w:p>
    <w:p w14:paraId="064C76B8" w14:textId="77777777" w:rsidR="00B65B76" w:rsidRPr="00E62A01" w:rsidRDefault="00B65B76" w:rsidP="00B65B76">
      <w:pPr>
        <w:rPr>
          <w:rFonts w:cs="Times New Roman"/>
        </w:rPr>
      </w:pPr>
      <w:r w:rsidRPr="00E62A01">
        <w:rPr>
          <w:rFonts w:cs="Times New Roman"/>
        </w:rPr>
        <w:t xml:space="preserve">The Bankruptcy Administrator may move for dismissal or conversion of debtor’s case for failure to pay quarterly fees as required. </w:t>
      </w:r>
    </w:p>
    <w:p w14:paraId="3E732F56" w14:textId="77777777" w:rsidR="00B65B76" w:rsidRPr="00E62A01" w:rsidRDefault="00B65B76" w:rsidP="00B65B76">
      <w:pPr>
        <w:rPr>
          <w:rFonts w:cs="Times New Roman"/>
          <w:bCs/>
        </w:rPr>
      </w:pPr>
      <w:r w:rsidRPr="00E62A01">
        <w:rPr>
          <w:rFonts w:cs="Times New Roman"/>
          <w:bCs/>
        </w:rPr>
        <w:t xml:space="preserve">Failure to pay required quarterly fees may also prevent debtor from voluntarily dismissing debtor’s case. If debtor desires to voluntarily dismiss the chapter 11 case, debtor must pay all outstanding quarterly fees, along with filing a </w:t>
      </w:r>
      <w:r w:rsidR="009B6548">
        <w:rPr>
          <w:rFonts w:cs="Times New Roman"/>
          <w:bCs/>
        </w:rPr>
        <w:t>C</w:t>
      </w:r>
      <w:r w:rsidRPr="00E62A01">
        <w:rPr>
          <w:rFonts w:cs="Times New Roman"/>
          <w:bCs/>
        </w:rPr>
        <w:t xml:space="preserve">hapter 11 </w:t>
      </w:r>
      <w:r w:rsidR="009B6548">
        <w:rPr>
          <w:rFonts w:cs="Times New Roman"/>
          <w:bCs/>
        </w:rPr>
        <w:t>Q</w:t>
      </w:r>
      <w:r w:rsidRPr="00E62A01">
        <w:rPr>
          <w:rFonts w:cs="Times New Roman"/>
          <w:bCs/>
        </w:rPr>
        <w:t xml:space="preserve">uarterly </w:t>
      </w:r>
      <w:r w:rsidR="009B6548">
        <w:rPr>
          <w:rFonts w:cs="Times New Roman"/>
          <w:bCs/>
        </w:rPr>
        <w:t>F</w:t>
      </w:r>
      <w:r w:rsidRPr="00E62A01">
        <w:rPr>
          <w:rFonts w:cs="Times New Roman"/>
          <w:bCs/>
        </w:rPr>
        <w:t xml:space="preserve">ee </w:t>
      </w:r>
      <w:r w:rsidR="009B6548">
        <w:rPr>
          <w:rFonts w:cs="Times New Roman"/>
          <w:bCs/>
        </w:rPr>
        <w:t>S</w:t>
      </w:r>
      <w:r w:rsidRPr="00E62A01">
        <w:rPr>
          <w:rFonts w:cs="Times New Roman"/>
          <w:bCs/>
        </w:rPr>
        <w:t>tatement, prior to the hearing on dismissal. Failure to do so may result in the Bankruptcy Administrator opposing dismissal of the case and requesting conversion of the case to a chapter 7 liquidation case.</w:t>
      </w:r>
    </w:p>
    <w:p w14:paraId="63EBBC73" w14:textId="77777777" w:rsidR="00B65B76" w:rsidRPr="00E62A01" w:rsidRDefault="00B65B76" w:rsidP="00B65B76">
      <w:pPr>
        <w:rPr>
          <w:rFonts w:cs="Times New Roman"/>
          <w:bCs/>
        </w:rPr>
      </w:pPr>
      <w:r w:rsidRPr="00E62A01">
        <w:rPr>
          <w:rFonts w:cs="Times New Roman"/>
          <w:bCs/>
        </w:rPr>
        <w:t xml:space="preserve">Failure to pay required quarterly fees may further impact debtor’s ability to confirm a plan. Pursuant to 11 U.S.C. </w:t>
      </w:r>
      <w:r w:rsidRPr="00E62A01">
        <w:rPr>
          <w:rFonts w:cs="Times New Roman"/>
        </w:rPr>
        <w:t>§ 1129(a)(12), the Court cannot confirm a plan unless “[a]</w:t>
      </w:r>
      <w:proofErr w:type="spellStart"/>
      <w:r w:rsidRPr="00E62A01">
        <w:rPr>
          <w:rFonts w:cs="Times New Roman"/>
        </w:rPr>
        <w:t>ll</w:t>
      </w:r>
      <w:proofErr w:type="spellEnd"/>
      <w:r w:rsidRPr="00E62A01">
        <w:rPr>
          <w:rFonts w:cs="Times New Roman"/>
        </w:rPr>
        <w:t xml:space="preserve"> fees payable under section 1930 of title 28, as determined by the court at the hearing on confirmation of the plan, have been paid or the plan provides for the payment of such fees on the effective date of the plan.”  </w:t>
      </w:r>
    </w:p>
    <w:p w14:paraId="65A9692F" w14:textId="77777777" w:rsidR="00B65B76" w:rsidRPr="00E62A01" w:rsidRDefault="00B65B76" w:rsidP="00B65B76">
      <w:pPr>
        <w:rPr>
          <w:rFonts w:cs="Times New Roman"/>
        </w:rPr>
      </w:pPr>
      <w:r w:rsidRPr="00E62A01">
        <w:rPr>
          <w:rFonts w:cs="Times New Roman"/>
        </w:rPr>
        <w:t>Pursuant to the Debt Collection Improvements Act of 1996, Public Law 104-134, Title III, §</w:t>
      </w:r>
      <w:r w:rsidR="00095EA1">
        <w:rPr>
          <w:rFonts w:cs="Times New Roman"/>
        </w:rPr>
        <w:t> </w:t>
      </w:r>
      <w:r w:rsidRPr="00E62A01">
        <w:rPr>
          <w:rFonts w:cs="Times New Roman"/>
        </w:rPr>
        <w:t>31001(i)(3)(A), 110 Stat. 1321-365, codified at 31 U.S.C. § 3701, the Bankruptcy Administrator may use debtor’s Taxpayer Identification Number (“TIN”) as reported by debtor or debtor’s counsel in connection with the chapter 11 bankruptcy proceeding for the purpose of collecting and reporting on any delinquent debt, including delinquent quarterly fees. The Bankruptcy Administrator may provide the debtor’s TIN to the U.S. Department of the Treasury (“Treasury Department”) for its use in attempting to collect overdue debts. The Treasury Department may take the following steps: (1) submit the debt to the Internal Revenue Service Offset Program so that the amount owed may be deducted from any payment made by the federal government to debtor, including but not limited to tax refunds; (2) report the delinquency to credit reporting agencies; (3) send collection notices to debtor; (4) engage private collection agencies to collect the debt; and (5) engage the United States Attorney’s office to sue for collection. Collection costs will be added to the total amount of the debt.</w:t>
      </w:r>
    </w:p>
    <w:p w14:paraId="2F350F02" w14:textId="77777777" w:rsidR="00B65B76" w:rsidRDefault="00B65B76" w:rsidP="00B65B76">
      <w:pPr>
        <w:rPr>
          <w:rFonts w:cs="Times New Roman"/>
        </w:rPr>
        <w:sectPr w:rsidR="00B65B76" w:rsidSect="00B65B76">
          <w:footerReference w:type="default" r:id="rId7"/>
          <w:pgSz w:w="12240" w:h="15840"/>
          <w:pgMar w:top="1440" w:right="1440" w:bottom="1440" w:left="1440" w:header="720" w:footer="720" w:gutter="0"/>
          <w:pgNumType w:start="1"/>
          <w:cols w:space="720"/>
          <w:docGrid w:linePitch="360"/>
        </w:sectPr>
      </w:pPr>
    </w:p>
    <w:p w14:paraId="218D9EE3" w14:textId="77777777" w:rsidR="00B65B76" w:rsidRPr="0009633D" w:rsidRDefault="00B65B76" w:rsidP="00B65B76">
      <w:pPr>
        <w:pStyle w:val="Heading1"/>
        <w:rPr>
          <w:rFonts w:eastAsia="Calibri"/>
        </w:rPr>
      </w:pPr>
      <w:r w:rsidRPr="0009633D">
        <w:rPr>
          <w:rFonts w:eastAsia="Calibri"/>
          <w:lang w:val="en-CA"/>
        </w:rPr>
        <w:lastRenderedPageBreak/>
        <w:fldChar w:fldCharType="begin"/>
      </w:r>
      <w:r w:rsidRPr="0009633D">
        <w:rPr>
          <w:rFonts w:eastAsia="Calibri"/>
          <w:lang w:val="en-CA"/>
        </w:rPr>
        <w:instrText xml:space="preserve"> SEQ CHAPTER \h \r 1</w:instrText>
      </w:r>
      <w:r w:rsidRPr="0009633D">
        <w:rPr>
          <w:rFonts w:eastAsia="Calibri"/>
          <w:lang w:val="en-CA"/>
        </w:rPr>
        <w:fldChar w:fldCharType="end"/>
      </w:r>
      <w:r w:rsidRPr="0009633D">
        <w:rPr>
          <w:rFonts w:eastAsia="Calibri"/>
        </w:rPr>
        <w:t>IN THE UNITED STATES BANKRUPTCY COURT</w:t>
      </w:r>
    </w:p>
    <w:p w14:paraId="5115382A" w14:textId="77777777" w:rsidR="00B65B76" w:rsidRPr="0009633D" w:rsidRDefault="00B65B76" w:rsidP="00B65B76">
      <w:pPr>
        <w:pStyle w:val="Heading1"/>
        <w:rPr>
          <w:rFonts w:eastAsia="Calibri"/>
        </w:rPr>
      </w:pPr>
      <w:r w:rsidRPr="0009633D">
        <w:rPr>
          <w:rFonts w:eastAsia="Calibri"/>
        </w:rPr>
        <w:t>FOR THE MIDDLE DISTRICT OF NORTH CAROLINA</w:t>
      </w:r>
    </w:p>
    <w:p w14:paraId="36188AF6" w14:textId="77777777" w:rsidR="00B65B76" w:rsidRPr="0009633D" w:rsidRDefault="00B65B76" w:rsidP="00B65B76">
      <w:pPr>
        <w:pStyle w:val="Heading1"/>
        <w:rPr>
          <w:rFonts w:eastAsia="Calibri"/>
        </w:rPr>
      </w:pPr>
      <w:r w:rsidRPr="0009633D">
        <w:rPr>
          <w:rFonts w:eastAsia="Calibri"/>
        </w:rPr>
        <w:t>_________________ DIVISION</w:t>
      </w:r>
    </w:p>
    <w:p w14:paraId="6697C1D4" w14:textId="77777777" w:rsidR="00B65B76" w:rsidRPr="0009633D" w:rsidRDefault="00B65B76" w:rsidP="00B65B76">
      <w:pPr>
        <w:autoSpaceDE w:val="0"/>
        <w:autoSpaceDN w:val="0"/>
        <w:adjustRightInd w:val="0"/>
        <w:spacing w:after="0"/>
        <w:ind w:firstLine="0"/>
        <w:rPr>
          <w:rFonts w:eastAsia="Calibri" w:cs="Times New Roman"/>
          <w:szCs w:val="24"/>
        </w:rPr>
      </w:pPr>
    </w:p>
    <w:p w14:paraId="66F3C046" w14:textId="77777777" w:rsidR="00B65B76" w:rsidRPr="0009633D" w:rsidRDefault="00B65B76" w:rsidP="00B65B76">
      <w:pPr>
        <w:autoSpaceDE w:val="0"/>
        <w:autoSpaceDN w:val="0"/>
        <w:adjustRightInd w:val="0"/>
        <w:spacing w:after="0"/>
        <w:ind w:firstLine="0"/>
        <w:rPr>
          <w:rFonts w:eastAsia="Calibri" w:cs="Times New Roman"/>
          <w:szCs w:val="24"/>
        </w:rPr>
      </w:pPr>
      <w:r w:rsidRPr="0009633D">
        <w:rPr>
          <w:rFonts w:eastAsia="Calibri" w:cs="Times New Roman"/>
          <w:szCs w:val="24"/>
        </w:rPr>
        <w:t>IN RE:</w:t>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30242A9A" w14:textId="77777777" w:rsidR="00B65B76" w:rsidRPr="0009633D" w:rsidRDefault="00B65B76" w:rsidP="00B65B76">
      <w:pPr>
        <w:autoSpaceDE w:val="0"/>
        <w:autoSpaceDN w:val="0"/>
        <w:adjustRightInd w:val="0"/>
        <w:spacing w:after="0"/>
        <w:ind w:firstLine="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7683225F" w14:textId="77777777" w:rsidR="00B65B76" w:rsidRPr="0009633D" w:rsidRDefault="00B65B76" w:rsidP="00B65B76">
      <w:pPr>
        <w:autoSpaceDE w:val="0"/>
        <w:autoSpaceDN w:val="0"/>
        <w:adjustRightInd w:val="0"/>
        <w:spacing w:after="0"/>
        <w:ind w:firstLine="0"/>
        <w:rPr>
          <w:rFonts w:eastAsia="Calibri" w:cs="Times New Roman"/>
          <w:szCs w:val="24"/>
        </w:rPr>
      </w:pPr>
      <w:r w:rsidRPr="0009633D">
        <w:rPr>
          <w:rFonts w:eastAsia="Calibri" w:cs="Times New Roman"/>
          <w:szCs w:val="24"/>
        </w:rPr>
        <w:t xml:space="preserve">XXXXX XXXX XXXXXXX, </w:t>
      </w:r>
      <w:r w:rsidRPr="0009633D">
        <w:rPr>
          <w:rFonts w:eastAsia="Calibri" w:cs="Times New Roman"/>
          <w:szCs w:val="24"/>
        </w:rPr>
        <w:tab/>
      </w:r>
      <w:proofErr w:type="gramStart"/>
      <w:r w:rsidRPr="0009633D">
        <w:rPr>
          <w:rFonts w:eastAsia="Calibri" w:cs="Times New Roman"/>
          <w:szCs w:val="24"/>
        </w:rPr>
        <w:tab/>
        <w:t xml:space="preserve">)   </w:t>
      </w:r>
      <w:proofErr w:type="gramEnd"/>
      <w:r w:rsidRPr="0009633D">
        <w:rPr>
          <w:rFonts w:eastAsia="Calibri" w:cs="Times New Roman"/>
          <w:szCs w:val="24"/>
        </w:rPr>
        <w:t xml:space="preserve"> CASE NO. XX-XXXXX</w:t>
      </w:r>
    </w:p>
    <w:p w14:paraId="1FCA7AD8" w14:textId="77777777" w:rsidR="00B65B76" w:rsidRPr="0009633D" w:rsidRDefault="00B65B76" w:rsidP="00B65B76">
      <w:pPr>
        <w:autoSpaceDE w:val="0"/>
        <w:autoSpaceDN w:val="0"/>
        <w:adjustRightInd w:val="0"/>
        <w:spacing w:after="0"/>
        <w:ind w:firstLine="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35D76C56" w14:textId="77777777" w:rsidR="00B65B76" w:rsidRPr="0009633D" w:rsidRDefault="00B65B76" w:rsidP="00B65B76">
      <w:pPr>
        <w:autoSpaceDE w:val="0"/>
        <w:autoSpaceDN w:val="0"/>
        <w:adjustRightInd w:val="0"/>
        <w:spacing w:after="0"/>
        <w:ind w:firstLine="0"/>
        <w:rPr>
          <w:rFonts w:eastAsia="Calibri" w:cs="Times New Roman"/>
          <w:szCs w:val="24"/>
        </w:rPr>
      </w:pPr>
      <w:r w:rsidRPr="0009633D">
        <w:rPr>
          <w:rFonts w:eastAsia="Calibri" w:cs="Times New Roman"/>
          <w:szCs w:val="24"/>
        </w:rPr>
        <w:tab/>
        <w:t>Debtor.</w:t>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 xml:space="preserve">)    </w:t>
      </w:r>
    </w:p>
    <w:p w14:paraId="2463FE1A" w14:textId="77777777" w:rsidR="00B65B76" w:rsidRPr="0009633D" w:rsidRDefault="00B65B76" w:rsidP="00B65B76">
      <w:pPr>
        <w:autoSpaceDE w:val="0"/>
        <w:autoSpaceDN w:val="0"/>
        <w:adjustRightInd w:val="0"/>
        <w:spacing w:after="0"/>
        <w:ind w:firstLine="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2B1803A3" w14:textId="77777777" w:rsidR="00B65B76" w:rsidRPr="005B68B6" w:rsidRDefault="00B65B76" w:rsidP="00B65B76">
      <w:pPr>
        <w:autoSpaceDE w:val="0"/>
        <w:autoSpaceDN w:val="0"/>
        <w:adjustRightInd w:val="0"/>
        <w:spacing w:after="0"/>
        <w:ind w:firstLine="0"/>
        <w:rPr>
          <w:rFonts w:eastAsia="Calibri" w:cs="Times New Roman"/>
          <w:szCs w:val="24"/>
        </w:rPr>
      </w:pPr>
    </w:p>
    <w:p w14:paraId="53505609" w14:textId="77777777" w:rsidR="00B65B76" w:rsidRPr="005B68B6" w:rsidRDefault="00B65B76" w:rsidP="00B65B76">
      <w:pPr>
        <w:pStyle w:val="Heading1"/>
        <w:rPr>
          <w:rFonts w:eastAsia="Calibri"/>
        </w:rPr>
      </w:pPr>
      <w:r w:rsidRPr="005B68B6">
        <w:rPr>
          <w:rFonts w:eastAsia="Calibri"/>
        </w:rPr>
        <w:t>CHAPTER 11 QUARTERLY FEE STATEMENT</w:t>
      </w:r>
    </w:p>
    <w:p w14:paraId="4C017E98" w14:textId="77777777" w:rsidR="00B65B76" w:rsidRPr="005B68B6" w:rsidRDefault="00B65B76" w:rsidP="00B65B76">
      <w:pPr>
        <w:pStyle w:val="Heading1"/>
        <w:rPr>
          <w:rFonts w:eastAsia="Calibri"/>
        </w:rPr>
      </w:pPr>
      <w:r w:rsidRPr="005B68B6">
        <w:rPr>
          <w:rFonts w:eastAsia="Calibri"/>
        </w:rPr>
        <w:t>PURSUANT TO FED. R. BANKR. P. 2015(a)(5)</w:t>
      </w:r>
    </w:p>
    <w:p w14:paraId="70627990" w14:textId="77777777" w:rsidR="00B65B76" w:rsidRPr="005B68B6" w:rsidRDefault="00B65B76" w:rsidP="00B65B76">
      <w:pPr>
        <w:autoSpaceDE w:val="0"/>
        <w:autoSpaceDN w:val="0"/>
        <w:adjustRightInd w:val="0"/>
        <w:spacing w:after="0"/>
        <w:jc w:val="center"/>
        <w:rPr>
          <w:rFonts w:eastAsia="Calibri" w:cs="Times New Roman"/>
          <w:szCs w:val="24"/>
        </w:rPr>
      </w:pPr>
      <w:r w:rsidRPr="005B68B6">
        <w:rPr>
          <w:rFonts w:eastAsia="Calibri" w:cs="Times New Roman"/>
          <w:szCs w:val="24"/>
        </w:rPr>
        <w:t xml:space="preserve"> </w:t>
      </w:r>
    </w:p>
    <w:p w14:paraId="0CDE7C2E" w14:textId="77777777" w:rsidR="00B65B76" w:rsidRPr="005B68B6" w:rsidRDefault="00B65B76" w:rsidP="00B65B76">
      <w:pPr>
        <w:rPr>
          <w:rFonts w:eastAsia="Calibri" w:cs="Times New Roman"/>
          <w:szCs w:val="24"/>
        </w:rPr>
      </w:pPr>
      <w:r w:rsidRPr="005B68B6">
        <w:rPr>
          <w:rFonts w:eastAsia="Calibri" w:cs="Times New Roman"/>
          <w:szCs w:val="24"/>
        </w:rPr>
        <w:t>FOR CALENDAR QUARTER ENDING _______________, 20__:</w:t>
      </w:r>
    </w:p>
    <w:p w14:paraId="4E4EB5B8" w14:textId="77777777" w:rsidR="00B65B76" w:rsidRPr="005B68B6" w:rsidRDefault="00B65B76" w:rsidP="00B65B76">
      <w:pPr>
        <w:numPr>
          <w:ilvl w:val="0"/>
          <w:numId w:val="1"/>
        </w:numPr>
        <w:ind w:left="0" w:firstLine="0"/>
        <w:contextualSpacing/>
        <w:rPr>
          <w:rFonts w:eastAsia="Calibri" w:cs="Times New Roman"/>
          <w:szCs w:val="24"/>
        </w:rPr>
      </w:pPr>
      <w:r w:rsidRPr="005B68B6">
        <w:rPr>
          <w:rFonts w:eastAsia="Calibri" w:cs="Times New Roman"/>
          <w:szCs w:val="24"/>
        </w:rPr>
        <w:t>Disbursements Made During Quarter:</w:t>
      </w:r>
    </w:p>
    <w:tbl>
      <w:tblPr>
        <w:tblStyle w:val="TableGrid2"/>
        <w:tblW w:w="0" w:type="auto"/>
        <w:tblLook w:val="04A0" w:firstRow="1" w:lastRow="0" w:firstColumn="1" w:lastColumn="0" w:noHBand="0" w:noVBand="1"/>
      </w:tblPr>
      <w:tblGrid>
        <w:gridCol w:w="3235"/>
        <w:gridCol w:w="1440"/>
        <w:gridCol w:w="4675"/>
      </w:tblGrid>
      <w:tr w:rsidR="00B65B76" w:rsidRPr="005B68B6" w14:paraId="654D3FFC" w14:textId="77777777" w:rsidTr="00C23E3D">
        <w:tc>
          <w:tcPr>
            <w:tcW w:w="4675" w:type="dxa"/>
            <w:gridSpan w:val="2"/>
          </w:tcPr>
          <w:p w14:paraId="3C9E38D9" w14:textId="77777777" w:rsidR="00B65B76" w:rsidRPr="007106A4" w:rsidRDefault="00B65B76" w:rsidP="00C23E3D">
            <w:pPr>
              <w:ind w:firstLine="0"/>
              <w:rPr>
                <w:rFonts w:eastAsia="Calibri" w:cs="Times New Roman"/>
                <w:b/>
                <w:szCs w:val="24"/>
              </w:rPr>
            </w:pPr>
            <w:r w:rsidRPr="007106A4">
              <w:rPr>
                <w:rFonts w:eastAsia="Calibri" w:cs="Times New Roman"/>
                <w:b/>
                <w:szCs w:val="24"/>
              </w:rPr>
              <w:t>MONTH</w:t>
            </w:r>
          </w:p>
        </w:tc>
        <w:tc>
          <w:tcPr>
            <w:tcW w:w="4675" w:type="dxa"/>
          </w:tcPr>
          <w:p w14:paraId="1CF7B0FB" w14:textId="77777777" w:rsidR="00B65B76" w:rsidRPr="007106A4" w:rsidRDefault="00B65B76" w:rsidP="00C23E3D">
            <w:pPr>
              <w:ind w:firstLine="0"/>
              <w:rPr>
                <w:rFonts w:eastAsia="Calibri" w:cs="Times New Roman"/>
                <w:b/>
                <w:szCs w:val="24"/>
              </w:rPr>
            </w:pPr>
            <w:r w:rsidRPr="007106A4">
              <w:rPr>
                <w:rFonts w:eastAsia="Calibri" w:cs="Times New Roman"/>
                <w:b/>
                <w:szCs w:val="24"/>
              </w:rPr>
              <w:t>DISBURSEMENTS</w:t>
            </w:r>
            <w:r w:rsidRPr="007106A4">
              <w:rPr>
                <w:rStyle w:val="FootnoteReference"/>
                <w:rFonts w:eastAsia="Calibri" w:cs="Times New Roman"/>
                <w:b/>
                <w:szCs w:val="24"/>
              </w:rPr>
              <w:footnoteReference w:customMarkFollows="1" w:id="1"/>
              <w:t>1</w:t>
            </w:r>
          </w:p>
        </w:tc>
      </w:tr>
      <w:tr w:rsidR="00B65B76" w:rsidRPr="005B68B6" w14:paraId="44CFB513" w14:textId="77777777" w:rsidTr="00C23E3D">
        <w:tc>
          <w:tcPr>
            <w:tcW w:w="4675" w:type="dxa"/>
            <w:gridSpan w:val="2"/>
          </w:tcPr>
          <w:p w14:paraId="5F9C863B" w14:textId="77777777" w:rsidR="00B65B76" w:rsidRPr="005B68B6" w:rsidRDefault="00B65B76" w:rsidP="00C23E3D">
            <w:pPr>
              <w:ind w:firstLine="0"/>
              <w:rPr>
                <w:rFonts w:eastAsia="Calibri" w:cs="Times New Roman"/>
                <w:szCs w:val="24"/>
              </w:rPr>
            </w:pPr>
          </w:p>
        </w:tc>
        <w:tc>
          <w:tcPr>
            <w:tcW w:w="4675" w:type="dxa"/>
          </w:tcPr>
          <w:p w14:paraId="12D65D8D" w14:textId="77777777" w:rsidR="00B65B76" w:rsidRPr="005B68B6" w:rsidRDefault="00B65B76" w:rsidP="00C23E3D">
            <w:pPr>
              <w:ind w:firstLine="0"/>
              <w:rPr>
                <w:rFonts w:eastAsia="Calibri" w:cs="Times New Roman"/>
                <w:szCs w:val="24"/>
              </w:rPr>
            </w:pPr>
            <w:r w:rsidRPr="005B68B6">
              <w:rPr>
                <w:rFonts w:eastAsia="Calibri" w:cs="Times New Roman"/>
                <w:szCs w:val="24"/>
              </w:rPr>
              <w:t>$</w:t>
            </w:r>
          </w:p>
        </w:tc>
      </w:tr>
      <w:tr w:rsidR="00B65B76" w:rsidRPr="005B68B6" w14:paraId="44F9E76F" w14:textId="77777777" w:rsidTr="00C23E3D">
        <w:tc>
          <w:tcPr>
            <w:tcW w:w="4675" w:type="dxa"/>
            <w:gridSpan w:val="2"/>
          </w:tcPr>
          <w:p w14:paraId="6F628559" w14:textId="77777777" w:rsidR="00B65B76" w:rsidRPr="005B68B6" w:rsidRDefault="00B65B76" w:rsidP="00C23E3D">
            <w:pPr>
              <w:ind w:firstLine="0"/>
              <w:rPr>
                <w:rFonts w:eastAsia="Calibri" w:cs="Times New Roman"/>
                <w:szCs w:val="24"/>
              </w:rPr>
            </w:pPr>
          </w:p>
        </w:tc>
        <w:tc>
          <w:tcPr>
            <w:tcW w:w="4675" w:type="dxa"/>
          </w:tcPr>
          <w:p w14:paraId="31A2934E" w14:textId="77777777" w:rsidR="00B65B76" w:rsidRPr="005B68B6" w:rsidRDefault="00B65B76" w:rsidP="00C23E3D">
            <w:pPr>
              <w:ind w:firstLine="0"/>
              <w:rPr>
                <w:rFonts w:eastAsia="Calibri" w:cs="Times New Roman"/>
                <w:szCs w:val="24"/>
              </w:rPr>
            </w:pPr>
            <w:r w:rsidRPr="005B68B6">
              <w:rPr>
                <w:rFonts w:eastAsia="Calibri" w:cs="Times New Roman"/>
                <w:szCs w:val="24"/>
              </w:rPr>
              <w:t>$</w:t>
            </w:r>
          </w:p>
        </w:tc>
      </w:tr>
      <w:tr w:rsidR="00B65B76" w:rsidRPr="005B68B6" w14:paraId="2AD05F1F" w14:textId="77777777" w:rsidTr="00C23E3D">
        <w:tc>
          <w:tcPr>
            <w:tcW w:w="4675" w:type="dxa"/>
            <w:gridSpan w:val="2"/>
          </w:tcPr>
          <w:p w14:paraId="42306DD5" w14:textId="77777777" w:rsidR="00B65B76" w:rsidRPr="005B68B6" w:rsidRDefault="00B65B76" w:rsidP="00C23E3D">
            <w:pPr>
              <w:ind w:firstLine="0"/>
              <w:rPr>
                <w:rFonts w:eastAsia="Calibri" w:cs="Times New Roman"/>
                <w:szCs w:val="24"/>
              </w:rPr>
            </w:pPr>
          </w:p>
        </w:tc>
        <w:tc>
          <w:tcPr>
            <w:tcW w:w="4675" w:type="dxa"/>
          </w:tcPr>
          <w:p w14:paraId="56F25C6B" w14:textId="77777777" w:rsidR="00B65B76" w:rsidRPr="005B68B6" w:rsidRDefault="00B65B76" w:rsidP="00C23E3D">
            <w:pPr>
              <w:ind w:firstLine="0"/>
              <w:rPr>
                <w:rFonts w:eastAsia="Calibri" w:cs="Times New Roman"/>
                <w:szCs w:val="24"/>
              </w:rPr>
            </w:pPr>
            <w:r w:rsidRPr="005B68B6">
              <w:rPr>
                <w:rFonts w:eastAsia="Calibri" w:cs="Times New Roman"/>
                <w:szCs w:val="24"/>
              </w:rPr>
              <w:t>$</w:t>
            </w:r>
          </w:p>
        </w:tc>
      </w:tr>
      <w:tr w:rsidR="00B65B76" w:rsidRPr="005B68B6" w14:paraId="24079190" w14:textId="77777777" w:rsidTr="00C23E3D">
        <w:trPr>
          <w:gridBefore w:val="1"/>
          <w:wBefore w:w="3235" w:type="dxa"/>
        </w:trPr>
        <w:tc>
          <w:tcPr>
            <w:tcW w:w="1440" w:type="dxa"/>
          </w:tcPr>
          <w:p w14:paraId="16DDF178" w14:textId="77777777" w:rsidR="00B65B76" w:rsidRPr="005B68B6" w:rsidRDefault="00B65B76" w:rsidP="00C23E3D">
            <w:pPr>
              <w:ind w:firstLine="0"/>
              <w:rPr>
                <w:rFonts w:eastAsia="Calibri" w:cs="Times New Roman"/>
                <w:szCs w:val="24"/>
              </w:rPr>
            </w:pPr>
            <w:r w:rsidRPr="007106A4">
              <w:rPr>
                <w:rFonts w:eastAsia="Calibri" w:cs="Times New Roman"/>
                <w:b/>
                <w:szCs w:val="24"/>
              </w:rPr>
              <w:t>TOTAL</w:t>
            </w:r>
            <w:r w:rsidRPr="005B68B6">
              <w:rPr>
                <w:rFonts w:eastAsia="Calibri" w:cs="Times New Roman"/>
                <w:szCs w:val="24"/>
              </w:rPr>
              <w:t xml:space="preserve">: </w:t>
            </w:r>
          </w:p>
        </w:tc>
        <w:tc>
          <w:tcPr>
            <w:tcW w:w="4675" w:type="dxa"/>
          </w:tcPr>
          <w:p w14:paraId="5B854DD3" w14:textId="77777777" w:rsidR="00B65B76" w:rsidRPr="005B68B6" w:rsidRDefault="00B65B76" w:rsidP="00C23E3D">
            <w:pPr>
              <w:ind w:firstLine="0"/>
              <w:rPr>
                <w:rFonts w:eastAsia="Calibri" w:cs="Times New Roman"/>
                <w:szCs w:val="24"/>
              </w:rPr>
            </w:pPr>
            <w:r w:rsidRPr="005B68B6">
              <w:rPr>
                <w:rFonts w:eastAsia="Calibri" w:cs="Times New Roman"/>
                <w:szCs w:val="24"/>
              </w:rPr>
              <w:t>$</w:t>
            </w:r>
          </w:p>
        </w:tc>
      </w:tr>
    </w:tbl>
    <w:p w14:paraId="51680918" w14:textId="77777777" w:rsidR="00B65B76" w:rsidRDefault="00B65B76" w:rsidP="00B65B76">
      <w:pPr>
        <w:ind w:firstLine="0"/>
        <w:contextualSpacing/>
        <w:rPr>
          <w:rFonts w:eastAsia="Calibri" w:cs="Times New Roman"/>
          <w:szCs w:val="24"/>
        </w:rPr>
      </w:pPr>
    </w:p>
    <w:p w14:paraId="1F31B802" w14:textId="77777777" w:rsidR="00B65B76" w:rsidRPr="005B68B6" w:rsidRDefault="00B65B76" w:rsidP="00B65B76">
      <w:pPr>
        <w:numPr>
          <w:ilvl w:val="0"/>
          <w:numId w:val="1"/>
        </w:numPr>
        <w:ind w:left="0" w:firstLine="0"/>
        <w:contextualSpacing/>
        <w:rPr>
          <w:rFonts w:eastAsia="Calibri" w:cs="Times New Roman"/>
          <w:szCs w:val="24"/>
        </w:rPr>
      </w:pPr>
      <w:r w:rsidRPr="005B68B6">
        <w:rPr>
          <w:rFonts w:eastAsia="Calibri" w:cs="Times New Roman"/>
          <w:szCs w:val="24"/>
        </w:rPr>
        <w:t>Quarterly Fee Due Pursuant To 28 U.S.C. § 1930(a)(7):</w:t>
      </w:r>
      <w:r w:rsidRPr="005B68B6">
        <w:rPr>
          <w:rFonts w:eastAsia="Calibri" w:cs="Times New Roman"/>
          <w:szCs w:val="24"/>
        </w:rPr>
        <w:tab/>
      </w:r>
      <w:r w:rsidRPr="005B68B6">
        <w:rPr>
          <w:rFonts w:eastAsia="Calibri" w:cs="Times New Roman"/>
          <w:szCs w:val="24"/>
        </w:rPr>
        <w:tab/>
        <w:t>$_________________</w:t>
      </w:r>
    </w:p>
    <w:p w14:paraId="516CF9D8" w14:textId="77777777" w:rsidR="00B65B76" w:rsidRPr="005B68B6" w:rsidRDefault="00B65B76" w:rsidP="00B65B76">
      <w:pPr>
        <w:contextualSpacing/>
        <w:rPr>
          <w:rFonts w:eastAsia="Calibri" w:cs="Times New Roman"/>
          <w:szCs w:val="24"/>
        </w:rPr>
      </w:pPr>
    </w:p>
    <w:p w14:paraId="5CB9BA7E" w14:textId="77777777" w:rsidR="00B65B76" w:rsidRPr="005B68B6" w:rsidRDefault="00B65B76" w:rsidP="00B65B76">
      <w:pPr>
        <w:numPr>
          <w:ilvl w:val="0"/>
          <w:numId w:val="1"/>
        </w:numPr>
        <w:ind w:left="0" w:firstLine="0"/>
        <w:contextualSpacing/>
        <w:rPr>
          <w:rFonts w:eastAsia="Calibri" w:cs="Times New Roman"/>
          <w:szCs w:val="24"/>
        </w:rPr>
      </w:pPr>
      <w:r w:rsidRPr="005B68B6">
        <w:rPr>
          <w:rFonts w:eastAsia="Calibri" w:cs="Times New Roman"/>
          <w:szCs w:val="24"/>
        </w:rPr>
        <w:t>Quarterly Fee Paid (proof of payment is attached):</w:t>
      </w:r>
      <w:r w:rsidRPr="005B68B6">
        <w:rPr>
          <w:rFonts w:eastAsia="Calibri" w:cs="Times New Roman"/>
          <w:szCs w:val="24"/>
        </w:rPr>
        <w:tab/>
      </w:r>
      <w:r w:rsidRPr="005B68B6">
        <w:rPr>
          <w:rFonts w:eastAsia="Calibri" w:cs="Times New Roman"/>
          <w:szCs w:val="24"/>
        </w:rPr>
        <w:tab/>
      </w:r>
      <w:r w:rsidRPr="005B68B6">
        <w:rPr>
          <w:rFonts w:eastAsia="Calibri" w:cs="Times New Roman"/>
          <w:szCs w:val="24"/>
        </w:rPr>
        <w:tab/>
        <w:t>$_________________</w:t>
      </w:r>
    </w:p>
    <w:p w14:paraId="5C346A9C" w14:textId="77777777" w:rsidR="00B65B76" w:rsidRPr="005B68B6" w:rsidRDefault="00B65B76" w:rsidP="00B65B76">
      <w:pPr>
        <w:contextualSpacing/>
        <w:rPr>
          <w:rFonts w:eastAsia="Calibri" w:cs="Times New Roman"/>
          <w:szCs w:val="24"/>
        </w:rPr>
      </w:pPr>
    </w:p>
    <w:p w14:paraId="61EABFA8" w14:textId="77777777" w:rsidR="00B65B76" w:rsidRPr="005B68B6" w:rsidRDefault="00B65B76" w:rsidP="00B65B76">
      <w:pPr>
        <w:numPr>
          <w:ilvl w:val="0"/>
          <w:numId w:val="1"/>
        </w:numPr>
        <w:ind w:left="0" w:firstLine="0"/>
        <w:contextualSpacing/>
        <w:rPr>
          <w:rFonts w:eastAsia="Calibri" w:cs="Times New Roman"/>
          <w:szCs w:val="24"/>
        </w:rPr>
      </w:pPr>
      <w:r w:rsidRPr="005B68B6">
        <w:rPr>
          <w:rFonts w:eastAsia="Calibri" w:cs="Times New Roman"/>
          <w:szCs w:val="24"/>
        </w:rPr>
        <w:t xml:space="preserve">Amount of Unpaid Fees, if any: </w:t>
      </w:r>
      <w:r w:rsidRPr="005B68B6">
        <w:rPr>
          <w:rFonts w:eastAsia="Calibri" w:cs="Times New Roman"/>
          <w:szCs w:val="24"/>
        </w:rPr>
        <w:tab/>
      </w:r>
      <w:r w:rsidRPr="005B68B6">
        <w:rPr>
          <w:rFonts w:eastAsia="Calibri" w:cs="Times New Roman"/>
          <w:szCs w:val="24"/>
        </w:rPr>
        <w:tab/>
      </w:r>
      <w:r w:rsidRPr="005B68B6">
        <w:rPr>
          <w:rFonts w:eastAsia="Calibri" w:cs="Times New Roman"/>
          <w:szCs w:val="24"/>
        </w:rPr>
        <w:tab/>
      </w:r>
      <w:r w:rsidRPr="005B68B6">
        <w:rPr>
          <w:rFonts w:eastAsia="Calibri" w:cs="Times New Roman"/>
          <w:szCs w:val="24"/>
        </w:rPr>
        <w:tab/>
      </w:r>
      <w:r w:rsidRPr="005B68B6">
        <w:rPr>
          <w:rFonts w:eastAsia="Calibri" w:cs="Times New Roman"/>
          <w:szCs w:val="24"/>
        </w:rPr>
        <w:tab/>
        <w:t>$_________________</w:t>
      </w:r>
    </w:p>
    <w:p w14:paraId="05C779D5" w14:textId="77777777" w:rsidR="00B65B76" w:rsidRPr="005B68B6" w:rsidRDefault="00B65B76" w:rsidP="00B65B76">
      <w:pPr>
        <w:rPr>
          <w:rFonts w:eastAsia="Calibri" w:cs="Times New Roman"/>
          <w:szCs w:val="24"/>
        </w:rPr>
      </w:pPr>
    </w:p>
    <w:p w14:paraId="5099A623" w14:textId="77777777" w:rsidR="00B65B76" w:rsidRPr="005B68B6" w:rsidRDefault="00B65B76" w:rsidP="00B65B76">
      <w:pPr>
        <w:rPr>
          <w:rFonts w:eastAsia="Calibri" w:cs="Times New Roman"/>
          <w:szCs w:val="24"/>
        </w:rPr>
      </w:pPr>
      <w:r w:rsidRPr="005B68B6">
        <w:rPr>
          <w:rFonts w:eastAsia="Calibri" w:cs="Times New Roman"/>
          <w:szCs w:val="24"/>
        </w:rPr>
        <w:t>I, _____________________________________________, acting as the duly authorized agent for the ___(</w:t>
      </w:r>
      <w:r w:rsidRPr="005B68B6">
        <w:rPr>
          <w:rFonts w:eastAsia="Calibri" w:cs="Times New Roman"/>
          <w:i/>
          <w:szCs w:val="24"/>
          <w:u w:val="single"/>
        </w:rPr>
        <w:t>Debtor in Possession/Trustee/Plan Administrator</w:t>
      </w:r>
      <w:r w:rsidRPr="00BC4AD0">
        <w:rPr>
          <w:rFonts w:eastAsia="Calibri" w:cs="Times New Roman"/>
          <w:szCs w:val="24"/>
        </w:rPr>
        <w:t>)</w:t>
      </w:r>
      <w:r w:rsidRPr="005B68B6">
        <w:rPr>
          <w:rFonts w:eastAsia="Calibri" w:cs="Times New Roman"/>
          <w:szCs w:val="24"/>
        </w:rPr>
        <w:t xml:space="preserve">__, declare under penalty of perjury under the laws of the United States that I have read and certify that the figures, statements, disbursement itemizations, and account balances as listed in this Chapter 11 Quarterly Fee Statement are true and correct as of the date of this report to the best of my knowledge, information, and belief.  </w:t>
      </w:r>
    </w:p>
    <w:p w14:paraId="31876AAD" w14:textId="77777777" w:rsidR="00B65B76" w:rsidRPr="005B68B6" w:rsidRDefault="00B65B76" w:rsidP="00B65B76">
      <w:pPr>
        <w:spacing w:after="0"/>
        <w:rPr>
          <w:rFonts w:eastAsia="Calibri" w:cs="Times New Roman"/>
          <w:szCs w:val="24"/>
        </w:rPr>
      </w:pPr>
      <w:r w:rsidRPr="005B68B6">
        <w:rPr>
          <w:rFonts w:eastAsia="Calibri" w:cs="Times New Roman"/>
          <w:szCs w:val="24"/>
        </w:rPr>
        <w:t>Dated ____________________</w:t>
      </w:r>
      <w:r w:rsidRPr="005B68B6">
        <w:rPr>
          <w:rFonts w:eastAsia="Calibri" w:cs="Times New Roman"/>
          <w:szCs w:val="24"/>
        </w:rPr>
        <w:tab/>
        <w:t>______________________________________</w:t>
      </w:r>
    </w:p>
    <w:p w14:paraId="33144025" w14:textId="77777777" w:rsidR="004E15D0" w:rsidRPr="00B65B76" w:rsidRDefault="00B65B76" w:rsidP="00B65B76">
      <w:pPr>
        <w:spacing w:after="0"/>
        <w:rPr>
          <w:rFonts w:eastAsia="Calibri" w:cs="Times New Roman"/>
          <w:szCs w:val="24"/>
        </w:rPr>
      </w:pPr>
      <w:r w:rsidRPr="005B68B6">
        <w:rPr>
          <w:rFonts w:eastAsia="Calibri" w:cs="Times New Roman"/>
          <w:szCs w:val="24"/>
        </w:rPr>
        <w:tab/>
      </w:r>
      <w:r w:rsidRPr="005B68B6">
        <w:rPr>
          <w:rFonts w:eastAsia="Calibri" w:cs="Times New Roman"/>
          <w:szCs w:val="24"/>
        </w:rPr>
        <w:tab/>
      </w:r>
      <w:r w:rsidRPr="005B68B6">
        <w:rPr>
          <w:rFonts w:eastAsia="Calibri" w:cs="Times New Roman"/>
          <w:szCs w:val="24"/>
        </w:rPr>
        <w:tab/>
      </w:r>
      <w:r w:rsidRPr="005B68B6">
        <w:rPr>
          <w:rFonts w:eastAsia="Calibri" w:cs="Times New Roman"/>
          <w:szCs w:val="24"/>
        </w:rPr>
        <w:tab/>
        <w:t>For the (</w:t>
      </w:r>
      <w:r w:rsidRPr="005B68B6">
        <w:rPr>
          <w:rFonts w:eastAsia="Calibri" w:cs="Times New Roman"/>
          <w:i/>
          <w:szCs w:val="24"/>
          <w:u w:val="single"/>
        </w:rPr>
        <w:t>Debtor in Possession/Trustee/Plan Administrator</w:t>
      </w:r>
      <w:r w:rsidRPr="007D6B02">
        <w:rPr>
          <w:rFonts w:eastAsia="Calibri" w:cs="Times New Roman"/>
          <w:szCs w:val="24"/>
        </w:rPr>
        <w:t>)</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sidRPr="005B68B6">
        <w:rPr>
          <w:rFonts w:eastAsia="Calibri" w:cs="Times New Roman"/>
          <w:szCs w:val="24"/>
        </w:rPr>
        <w:tab/>
        <w:t>(</w:t>
      </w:r>
      <w:r w:rsidRPr="005B68B6">
        <w:rPr>
          <w:rFonts w:eastAsia="Calibri" w:cs="Times New Roman"/>
          <w:i/>
          <w:szCs w:val="24"/>
        </w:rPr>
        <w:t>Print or Type Name and Capacity of Declarant</w:t>
      </w:r>
      <w:r w:rsidRPr="005B68B6">
        <w:rPr>
          <w:rFonts w:eastAsia="Calibri" w:cs="Times New Roman"/>
          <w:szCs w:val="24"/>
        </w:rPr>
        <w:t>)</w:t>
      </w:r>
    </w:p>
    <w:sectPr w:rsidR="004E15D0" w:rsidRPr="00B65B76" w:rsidSect="00B65B76">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A438C" w14:textId="77777777" w:rsidR="00522B44" w:rsidRDefault="00522B44" w:rsidP="00B65B76">
      <w:pPr>
        <w:spacing w:after="0"/>
      </w:pPr>
      <w:r>
        <w:separator/>
      </w:r>
    </w:p>
  </w:endnote>
  <w:endnote w:type="continuationSeparator" w:id="0">
    <w:p w14:paraId="43641516" w14:textId="77777777" w:rsidR="00522B44" w:rsidRDefault="00522B44" w:rsidP="00B65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863287"/>
      <w:docPartObj>
        <w:docPartGallery w:val="Page Numbers (Bottom of Page)"/>
        <w:docPartUnique/>
      </w:docPartObj>
    </w:sdtPr>
    <w:sdtEndPr>
      <w:rPr>
        <w:noProof/>
      </w:rPr>
    </w:sdtEndPr>
    <w:sdtContent>
      <w:p w14:paraId="1D426AB6" w14:textId="77777777" w:rsidR="00B65B76" w:rsidRDefault="00B65B76" w:rsidP="00B65B76">
        <w:pPr>
          <w:pStyle w:val="Footer"/>
          <w:ind w:firstLine="0"/>
          <w:jc w:val="center"/>
        </w:pPr>
        <w:r>
          <w:fldChar w:fldCharType="begin"/>
        </w:r>
        <w:r>
          <w:instrText xml:space="preserve"> PAGE   \* MERGEFORMAT </w:instrText>
        </w:r>
        <w:r>
          <w:fldChar w:fldCharType="separate"/>
        </w:r>
        <w:r w:rsidR="00C03069">
          <w:rPr>
            <w:noProof/>
          </w:rPr>
          <w:t>3</w:t>
        </w:r>
        <w:r>
          <w:rPr>
            <w:noProof/>
          </w:rPr>
          <w:fldChar w:fldCharType="end"/>
        </w:r>
      </w:p>
    </w:sdtContent>
  </w:sdt>
  <w:p w14:paraId="1804973F" w14:textId="77777777" w:rsidR="00B65B76" w:rsidRDefault="00B65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DE3F5" w14:textId="77777777" w:rsidR="00B65B76" w:rsidRDefault="00B65B76" w:rsidP="00B65B76">
    <w:pPr>
      <w:pStyle w:val="Footer"/>
      <w:ind w:firstLine="0"/>
      <w:jc w:val="center"/>
    </w:pPr>
  </w:p>
  <w:p w14:paraId="5C6EE97F" w14:textId="77777777" w:rsidR="00B65B76" w:rsidRDefault="00B65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E74C9" w14:textId="77777777" w:rsidR="00522B44" w:rsidRDefault="00522B44" w:rsidP="00B65B76">
      <w:pPr>
        <w:spacing w:after="0"/>
      </w:pPr>
      <w:r>
        <w:separator/>
      </w:r>
    </w:p>
  </w:footnote>
  <w:footnote w:type="continuationSeparator" w:id="0">
    <w:p w14:paraId="3029FF13" w14:textId="77777777" w:rsidR="00522B44" w:rsidRDefault="00522B44" w:rsidP="00B65B76">
      <w:pPr>
        <w:spacing w:after="0"/>
      </w:pPr>
      <w:r>
        <w:continuationSeparator/>
      </w:r>
    </w:p>
  </w:footnote>
  <w:footnote w:id="1">
    <w:p w14:paraId="41C640B3" w14:textId="77777777" w:rsidR="00B65B76" w:rsidRPr="00406030" w:rsidRDefault="00B65B76" w:rsidP="00B65B76">
      <w:pPr>
        <w:pStyle w:val="FootnoteText"/>
        <w:rPr>
          <w:rFonts w:cs="Times New Roman"/>
        </w:rPr>
      </w:pPr>
      <w:r w:rsidRPr="007D6B02">
        <w:rPr>
          <w:rStyle w:val="FootnoteReference"/>
          <w:rFonts w:cs="Times New Roman"/>
        </w:rPr>
        <w:t>1</w:t>
      </w:r>
      <w:r w:rsidRPr="007D6B02">
        <w:rPr>
          <w:rFonts w:cs="Times New Roman"/>
        </w:rPr>
        <w:t xml:space="preserve"> </w:t>
      </w:r>
      <w:r w:rsidRPr="00BC4AD0">
        <w:rPr>
          <w:rFonts w:cs="Times New Roman"/>
        </w:rPr>
        <w:t>For</w:t>
      </w:r>
      <w:r w:rsidRPr="00406030">
        <w:rPr>
          <w:rFonts w:cs="Times New Roman"/>
        </w:rPr>
        <w:t xml:space="preserve"> periods subsequent to plan confirmation, disbursements include any payments made pursuant to the confirmed plan in addition to any other disbursements.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F70E0" w14:textId="77777777" w:rsidR="00316377" w:rsidRPr="00316377" w:rsidRDefault="00316377" w:rsidP="00316377">
    <w:pPr>
      <w:pStyle w:val="Header"/>
      <w:ind w:firstLine="0"/>
      <w:rPr>
        <w:rFonts w:asciiTheme="minorHAnsi" w:hAnsiTheme="minorHAnsi" w:cstheme="minorHAnsi"/>
        <w:i/>
        <w:iCs/>
        <w:sz w:val="16"/>
        <w:szCs w:val="16"/>
      </w:rPr>
    </w:pPr>
    <w:r w:rsidRPr="00316377">
      <w:rPr>
        <w:rFonts w:asciiTheme="minorHAnsi" w:hAnsiTheme="minorHAnsi" w:cstheme="minorHAnsi"/>
        <w:i/>
        <w:iCs/>
        <w:sz w:val="16"/>
        <w:szCs w:val="16"/>
      </w:rPr>
      <w:t>NCMB-1117 (04/21)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11AAC"/>
    <w:multiLevelType w:val="hybridMultilevel"/>
    <w:tmpl w:val="2E747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019"/>
    <w:rsid w:val="00034019"/>
    <w:rsid w:val="00095EA1"/>
    <w:rsid w:val="00216AA3"/>
    <w:rsid w:val="00316377"/>
    <w:rsid w:val="00433EE6"/>
    <w:rsid w:val="004E15D0"/>
    <w:rsid w:val="00506CDE"/>
    <w:rsid w:val="00522B44"/>
    <w:rsid w:val="005751C0"/>
    <w:rsid w:val="006A2317"/>
    <w:rsid w:val="007A571A"/>
    <w:rsid w:val="009B6548"/>
    <w:rsid w:val="00A576DB"/>
    <w:rsid w:val="00B65B76"/>
    <w:rsid w:val="00C03069"/>
    <w:rsid w:val="00D56A16"/>
    <w:rsid w:val="00ED2753"/>
    <w:rsid w:val="00FB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4B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76"/>
    <w:pPr>
      <w:spacing w:after="240" w:line="240" w:lineRule="auto"/>
      <w:ind w:firstLine="720"/>
    </w:pPr>
    <w:rPr>
      <w:rFonts w:ascii="Times New Roman" w:hAnsi="Times New Roman"/>
      <w:sz w:val="24"/>
    </w:rPr>
  </w:style>
  <w:style w:type="paragraph" w:styleId="Heading1">
    <w:name w:val="heading 1"/>
    <w:basedOn w:val="Normal"/>
    <w:link w:val="Heading1Char"/>
    <w:uiPriority w:val="1"/>
    <w:qFormat/>
    <w:rsid w:val="00B65B76"/>
    <w:pPr>
      <w:widowControl w:val="0"/>
      <w:spacing w:after="0"/>
      <w:ind w:firstLine="0"/>
      <w:jc w:val="center"/>
      <w:outlineLvl w:val="0"/>
    </w:pPr>
    <w:rPr>
      <w:rFonts w:eastAsia="Times New Roman" w:cs="Times New Roman"/>
      <w:b/>
      <w:bCs/>
      <w:spacing w:val="-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5B76"/>
    <w:rPr>
      <w:rFonts w:ascii="Times New Roman" w:eastAsia="Times New Roman" w:hAnsi="Times New Roman" w:cs="Times New Roman"/>
      <w:b/>
      <w:bCs/>
      <w:spacing w:val="-1"/>
      <w:sz w:val="24"/>
      <w:szCs w:val="24"/>
    </w:rPr>
  </w:style>
  <w:style w:type="paragraph" w:styleId="FootnoteText">
    <w:name w:val="footnote text"/>
    <w:basedOn w:val="Normal"/>
    <w:link w:val="FootnoteTextChar"/>
    <w:uiPriority w:val="99"/>
    <w:semiHidden/>
    <w:unhideWhenUsed/>
    <w:rsid w:val="00B65B76"/>
    <w:pPr>
      <w:spacing w:after="0"/>
    </w:pPr>
    <w:rPr>
      <w:sz w:val="20"/>
      <w:szCs w:val="20"/>
    </w:rPr>
  </w:style>
  <w:style w:type="character" w:customStyle="1" w:styleId="FootnoteTextChar">
    <w:name w:val="Footnote Text Char"/>
    <w:basedOn w:val="DefaultParagraphFont"/>
    <w:link w:val="FootnoteText"/>
    <w:uiPriority w:val="99"/>
    <w:semiHidden/>
    <w:rsid w:val="00B65B76"/>
    <w:rPr>
      <w:rFonts w:ascii="Times New Roman" w:hAnsi="Times New Roman"/>
      <w:sz w:val="20"/>
      <w:szCs w:val="20"/>
    </w:rPr>
  </w:style>
  <w:style w:type="character" w:styleId="FootnoteReference">
    <w:name w:val="footnote reference"/>
    <w:basedOn w:val="DefaultParagraphFont"/>
    <w:uiPriority w:val="99"/>
    <w:semiHidden/>
    <w:unhideWhenUsed/>
    <w:rsid w:val="00B65B76"/>
    <w:rPr>
      <w:vertAlign w:val="superscript"/>
    </w:rPr>
  </w:style>
  <w:style w:type="table" w:customStyle="1" w:styleId="TableGrid2">
    <w:name w:val="Table Grid2"/>
    <w:basedOn w:val="TableNormal"/>
    <w:next w:val="TableGrid"/>
    <w:uiPriority w:val="39"/>
    <w:rsid w:val="00B65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65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B76"/>
    <w:pPr>
      <w:tabs>
        <w:tab w:val="center" w:pos="4680"/>
        <w:tab w:val="right" w:pos="9360"/>
      </w:tabs>
      <w:spacing w:after="0"/>
    </w:pPr>
  </w:style>
  <w:style w:type="character" w:customStyle="1" w:styleId="HeaderChar">
    <w:name w:val="Header Char"/>
    <w:basedOn w:val="DefaultParagraphFont"/>
    <w:link w:val="Header"/>
    <w:uiPriority w:val="99"/>
    <w:rsid w:val="00B65B76"/>
    <w:rPr>
      <w:rFonts w:ascii="Times New Roman" w:hAnsi="Times New Roman"/>
      <w:sz w:val="24"/>
    </w:rPr>
  </w:style>
  <w:style w:type="paragraph" w:styleId="Footer">
    <w:name w:val="footer"/>
    <w:basedOn w:val="Normal"/>
    <w:link w:val="FooterChar"/>
    <w:uiPriority w:val="99"/>
    <w:unhideWhenUsed/>
    <w:rsid w:val="00B65B76"/>
    <w:pPr>
      <w:tabs>
        <w:tab w:val="center" w:pos="4680"/>
        <w:tab w:val="right" w:pos="9360"/>
      </w:tabs>
      <w:spacing w:after="0"/>
    </w:pPr>
  </w:style>
  <w:style w:type="character" w:customStyle="1" w:styleId="FooterChar">
    <w:name w:val="Footer Char"/>
    <w:basedOn w:val="DefaultParagraphFont"/>
    <w:link w:val="Footer"/>
    <w:uiPriority w:val="99"/>
    <w:rsid w:val="00B65B7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89297">
      <w:bodyDiv w:val="1"/>
      <w:marLeft w:val="0"/>
      <w:marRight w:val="0"/>
      <w:marTop w:val="0"/>
      <w:marBottom w:val="0"/>
      <w:divBdr>
        <w:top w:val="none" w:sz="0" w:space="0" w:color="auto"/>
        <w:left w:val="none" w:sz="0" w:space="0" w:color="auto"/>
        <w:bottom w:val="none" w:sz="0" w:space="0" w:color="auto"/>
        <w:right w:val="none" w:sz="0" w:space="0" w:color="auto"/>
      </w:divBdr>
    </w:div>
    <w:div w:id="194499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2021-03-31T19:07:00Z</dcterms:created>
  <dcterms:modified xsi:type="dcterms:W3CDTF">2021-03-31T19:25:00Z</dcterms:modified>
</cp:coreProperties>
</file>