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7DFB5" w14:textId="77777777" w:rsidR="00F461E0" w:rsidRDefault="00F461E0" w:rsidP="00F461E0">
      <w:pPr>
        <w:jc w:val="center"/>
        <w:rPr>
          <w:rFonts w:ascii="PMingLiU" w:eastAsia="PMingLiU" w:cs="PMingLiU"/>
          <w:sz w:val="32"/>
          <w:szCs w:val="32"/>
        </w:rPr>
      </w:pPr>
      <w:r>
        <w:rPr>
          <w:noProof/>
        </w:rPr>
        <mc:AlternateContent>
          <mc:Choice Requires="wps">
            <w:drawing>
              <wp:anchor distT="0" distB="0" distL="114300" distR="114300" simplePos="0" relativeHeight="251659264" behindDoc="1" locked="1" layoutInCell="0" allowOverlap="1" wp14:anchorId="2E834604" wp14:editId="7D21DDEB">
                <wp:simplePos x="0" y="0"/>
                <wp:positionH relativeFrom="margin">
                  <wp:align>left</wp:align>
                </wp:positionH>
                <wp:positionV relativeFrom="paragraph">
                  <wp:posOffset>27305</wp:posOffset>
                </wp:positionV>
                <wp:extent cx="1188720" cy="1061720"/>
                <wp:effectExtent l="0" t="0" r="1143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061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5C172F" w14:textId="77777777" w:rsidR="00F461E0" w:rsidRDefault="00F461E0" w:rsidP="00F461E0">
                            <w:r>
                              <w:rPr>
                                <w:noProof/>
                              </w:rPr>
                              <w:drawing>
                                <wp:inline distT="0" distB="0" distL="0" distR="0" wp14:anchorId="2840E298" wp14:editId="5C41AB19">
                                  <wp:extent cx="1014412" cy="9794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6753" cy="1058936"/>
                                          </a:xfrm>
                                          <a:prstGeom prst="rect">
                                            <a:avLst/>
                                          </a:prstGeom>
                                          <a:noFill/>
                                          <a:ln>
                                            <a:noFill/>
                                          </a:ln>
                                        </pic:spPr>
                                      </pic:pic>
                                    </a:graphicData>
                                  </a:graphic>
                                </wp:inline>
                              </w:drawing>
                            </w:r>
                            <w:r>
                              <w:rPr>
                                <w:noProof/>
                              </w:rPr>
                              <w:drawing>
                                <wp:inline distT="0" distB="0" distL="0" distR="0" wp14:anchorId="5E4DBBAA" wp14:editId="672563F0">
                                  <wp:extent cx="1181100" cy="885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r="-7022" b="-6932"/>
                                          <a:stretch>
                                            <a:fillRect/>
                                          </a:stretch>
                                        </pic:blipFill>
                                        <pic:spPr bwMode="auto">
                                          <a:xfrm>
                                            <a:off x="0" y="0"/>
                                            <a:ext cx="1181100" cy="8858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34604" id="Rectangle 2" o:spid="_x0000_s1026" style="position:absolute;left:0;text-align:left;margin-left:0;margin-top:2.15pt;width:93.6pt;height:83.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" o:allowincell="f" filled="f" stroked="f" strokeweight="0">
                <v:textbox inset="0,0,0,0">
                  <w:txbxContent>
                    <w:p w14:paraId="0A5C172F" w14:textId="77777777" w:rsidR="00F461E0" w:rsidRDefault="00F461E0" w:rsidP="00F461E0">
                      <w:r>
                        <w:rPr>
                          <w:noProof/>
                        </w:rPr>
                        <w:drawing>
                          <wp:inline distT="0" distB="0" distL="0" distR="0" wp14:anchorId="2840E298" wp14:editId="5C41AB19">
                            <wp:extent cx="1014412" cy="9794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6753" cy="1058936"/>
                                    </a:xfrm>
                                    <a:prstGeom prst="rect">
                                      <a:avLst/>
                                    </a:prstGeom>
                                    <a:noFill/>
                                    <a:ln>
                                      <a:noFill/>
                                    </a:ln>
                                  </pic:spPr>
                                </pic:pic>
                              </a:graphicData>
                            </a:graphic>
                          </wp:inline>
                        </w:drawing>
                      </w:r>
                      <w:r>
                        <w:rPr>
                          <w:noProof/>
                        </w:rPr>
                        <w:drawing>
                          <wp:inline distT="0" distB="0" distL="0" distR="0" wp14:anchorId="5E4DBBAA" wp14:editId="672563F0">
                            <wp:extent cx="1181100" cy="885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7022" b="-6932"/>
                                    <a:stretch>
                                      <a:fillRect/>
                                    </a:stretch>
                                  </pic:blipFill>
                                  <pic:spPr bwMode="auto">
                                    <a:xfrm>
                                      <a:off x="0" y="0"/>
                                      <a:ext cx="1181100" cy="885825"/>
                                    </a:xfrm>
                                    <a:prstGeom prst="rect">
                                      <a:avLst/>
                                    </a:prstGeom>
                                    <a:noFill/>
                                    <a:ln>
                                      <a:noFill/>
                                    </a:ln>
                                  </pic:spPr>
                                </pic:pic>
                              </a:graphicData>
                            </a:graphic>
                          </wp:inline>
                        </w:drawing>
                      </w:r>
                    </w:p>
                  </w:txbxContent>
                </v:textbox>
                <w10:wrap anchorx="margin"/>
                <w10:anchorlock/>
              </v:rect>
            </w:pict>
          </mc:Fallback>
        </mc:AlternateContent>
      </w:r>
      <w:r>
        <w:rPr>
          <w:rFonts w:ascii="PMingLiU" w:eastAsia="PMingLiU" w:cs="PMingLiU"/>
          <w:sz w:val="32"/>
          <w:szCs w:val="32"/>
        </w:rPr>
        <w:t>United States Bankruptcy Administrator</w:t>
      </w:r>
    </w:p>
    <w:p w14:paraId="31CDDD59" w14:textId="77777777" w:rsidR="00F461E0" w:rsidRDefault="00F461E0" w:rsidP="00F461E0">
      <w:pPr>
        <w:jc w:val="center"/>
        <w:rPr>
          <w:rFonts w:ascii="PMingLiU" w:eastAsia="PMingLiU" w:cs="PMingLiU"/>
          <w:smallCaps/>
          <w:sz w:val="32"/>
          <w:szCs w:val="32"/>
        </w:rPr>
      </w:pPr>
      <w:r>
        <w:rPr>
          <w:rFonts w:ascii="PMingLiU" w:eastAsia="PMingLiU" w:cs="PMingLiU"/>
          <w:sz w:val="32"/>
          <w:szCs w:val="32"/>
        </w:rPr>
        <w:t>Middle District of North Carolina</w:t>
      </w:r>
    </w:p>
    <w:p w14:paraId="41B17AD2" w14:textId="77777777" w:rsidR="00F461E0" w:rsidRDefault="00F461E0" w:rsidP="00F461E0">
      <w:pPr>
        <w:jc w:val="center"/>
        <w:rPr>
          <w:rFonts w:ascii="PMingLiU" w:eastAsia="PMingLiU" w:cs="PMingLiU"/>
          <w:smallCaps/>
          <w:sz w:val="20"/>
          <w:szCs w:val="20"/>
        </w:rPr>
      </w:pPr>
      <w:r>
        <w:rPr>
          <w:rFonts w:ascii="PMingLiU" w:eastAsia="PMingLiU" w:cs="PMingLiU"/>
          <w:smallCaps/>
          <w:sz w:val="20"/>
          <w:szCs w:val="20"/>
        </w:rPr>
        <w:t>101 South Edgeworth Street</w:t>
      </w:r>
    </w:p>
    <w:p w14:paraId="50C19BCF" w14:textId="5DF0EFA6" w:rsidR="00F461E0" w:rsidRDefault="00F461E0" w:rsidP="00F461E0">
      <w:pPr>
        <w:jc w:val="center"/>
        <w:rPr>
          <w:rFonts w:ascii="PMingLiU" w:eastAsia="PMingLiU" w:cs="PMingLiU"/>
          <w:smallCaps/>
          <w:sz w:val="14"/>
          <w:szCs w:val="14"/>
        </w:rPr>
      </w:pPr>
      <w:r>
        <w:rPr>
          <w:rFonts w:ascii="PMingLiU" w:eastAsia="PMingLiU" w:cs="PMingLiU"/>
          <w:smallCaps/>
          <w:sz w:val="20"/>
          <w:szCs w:val="20"/>
        </w:rPr>
        <w:t xml:space="preserve">Greensboro, North Carolina </w:t>
      </w:r>
      <w:r w:rsidR="00853A06">
        <w:rPr>
          <w:rFonts w:ascii="PMingLiU" w:eastAsia="PMingLiU" w:cs="PMingLiU"/>
          <w:smallCaps/>
          <w:sz w:val="20"/>
          <w:szCs w:val="20"/>
        </w:rPr>
        <w:t>27401</w:t>
      </w:r>
    </w:p>
    <w:p w14:paraId="30EDAAEA" w14:textId="12F92500" w:rsidR="0096208B" w:rsidRDefault="0096208B" w:rsidP="0096208B">
      <w:pPr>
        <w:rPr>
          <w:rFonts w:ascii="PMingLiU" w:eastAsia="PMingLiU" w:cs="PMingLiU"/>
          <w:smallCaps/>
          <w:sz w:val="14"/>
          <w:szCs w:val="14"/>
        </w:rPr>
      </w:pPr>
    </w:p>
    <w:p w14:paraId="002E5B40" w14:textId="5B422009" w:rsidR="001144D7" w:rsidRPr="0096208B" w:rsidRDefault="007723E2" w:rsidP="0096208B">
      <w:pPr>
        <w:jc w:val="right"/>
        <w:rPr>
          <w:rFonts w:ascii="PMingLiU" w:eastAsia="PMingLiU" w:cs="PMingLiU"/>
          <w:smallCaps/>
          <w:sz w:val="14"/>
          <w:szCs w:val="14"/>
        </w:rPr>
      </w:pPr>
      <w:r>
        <w:rPr>
          <w:rFonts w:ascii="PMingLiU" w:eastAsia="PMingLiU" w:cs="PMingLiU"/>
          <w:smallCaps/>
          <w:sz w:val="14"/>
          <w:szCs w:val="14"/>
        </w:rPr>
        <w:t xml:space="preserve">March </w:t>
      </w:r>
      <w:r w:rsidR="00A4257A">
        <w:rPr>
          <w:rFonts w:ascii="PMingLiU" w:eastAsia="PMingLiU" w:cs="PMingLiU"/>
          <w:smallCaps/>
          <w:sz w:val="14"/>
          <w:szCs w:val="14"/>
        </w:rPr>
        <w:t>2</w:t>
      </w:r>
      <w:r w:rsidR="00DB23FC">
        <w:rPr>
          <w:rFonts w:ascii="PMingLiU" w:eastAsia="PMingLiU" w:cs="PMingLiU"/>
          <w:smallCaps/>
          <w:sz w:val="14"/>
          <w:szCs w:val="14"/>
        </w:rPr>
        <w:t>6</w:t>
      </w:r>
      <w:r>
        <w:rPr>
          <w:rFonts w:ascii="PMingLiU" w:eastAsia="PMingLiU" w:cs="PMingLiU"/>
          <w:smallCaps/>
          <w:sz w:val="14"/>
          <w:szCs w:val="14"/>
        </w:rPr>
        <w:t>, 2020</w:t>
      </w:r>
    </w:p>
    <w:p w14:paraId="31855285" w14:textId="000DD89F" w:rsidR="007723E2" w:rsidRDefault="007723E2" w:rsidP="007723E2">
      <w:pPr>
        <w:jc w:val="center"/>
        <w:rPr>
          <w:b/>
          <w:u w:val="single"/>
        </w:rPr>
      </w:pPr>
      <w:r w:rsidRPr="0045586B">
        <w:rPr>
          <w:b/>
          <w:u w:val="single"/>
        </w:rPr>
        <w:t>ANNOUNCEMENT</w:t>
      </w:r>
    </w:p>
    <w:p w14:paraId="2E3BF5A6" w14:textId="77777777" w:rsidR="007723E2" w:rsidRPr="0045586B" w:rsidRDefault="007723E2" w:rsidP="007723E2">
      <w:pPr>
        <w:jc w:val="center"/>
        <w:rPr>
          <w:b/>
          <w:u w:val="single"/>
        </w:rPr>
      </w:pPr>
    </w:p>
    <w:p w14:paraId="62BB9407" w14:textId="60CD6785" w:rsidR="007723E2" w:rsidRPr="0045586B" w:rsidRDefault="003004ED" w:rsidP="007723E2">
      <w:pPr>
        <w:jc w:val="center"/>
        <w:rPr>
          <w:b/>
        </w:rPr>
      </w:pPr>
      <w:r>
        <w:rPr>
          <w:b/>
        </w:rPr>
        <w:t xml:space="preserve">Chapter 7 </w:t>
      </w:r>
      <w:r w:rsidR="007723E2" w:rsidRPr="0045586B">
        <w:rPr>
          <w:b/>
        </w:rPr>
        <w:t>341 Meetings</w:t>
      </w:r>
      <w:r w:rsidR="007723E2">
        <w:rPr>
          <w:b/>
        </w:rPr>
        <w:t xml:space="preserve"> of Creditors</w:t>
      </w:r>
      <w:r w:rsidR="007723E2" w:rsidRPr="0045586B">
        <w:rPr>
          <w:b/>
        </w:rPr>
        <w:t>:</w:t>
      </w:r>
      <w:r w:rsidR="007723E2">
        <w:rPr>
          <w:b/>
        </w:rPr>
        <w:t xml:space="preserve"> </w:t>
      </w:r>
      <w:r w:rsidR="007723E2" w:rsidRPr="0045586B">
        <w:rPr>
          <w:b/>
        </w:rPr>
        <w:t>Temporary Policies and Procedures</w:t>
      </w:r>
    </w:p>
    <w:p w14:paraId="475BB7BE" w14:textId="6F27B533" w:rsidR="00DB23FC" w:rsidRDefault="00CF3B9B" w:rsidP="007723E2">
      <w:pPr>
        <w:jc w:val="both"/>
      </w:pPr>
      <w:r>
        <w:br/>
      </w:r>
      <w:r w:rsidR="001132C9">
        <w:t>The President of the United States has proclaimed tha</w:t>
      </w:r>
      <w:r w:rsidR="00DB23FC">
        <w:t>t</w:t>
      </w:r>
      <w:r w:rsidR="001132C9">
        <w:t xml:space="preserve"> the worldwide pandemic Coronavirus (COVID-19) outbreak that has reached the United States constitutes a national emergency, and the Governor has declared a state of emergency for the State of North Carolina. The Centers for </w:t>
      </w:r>
      <w:r w:rsidR="00DB23FC">
        <w:t>Disease</w:t>
      </w:r>
      <w:r w:rsidR="001132C9">
        <w:t xml:space="preserve"> Control and Prevention and other public health authorities have advised taking precautions to reduce the </w:t>
      </w:r>
      <w:r w:rsidR="00DB23FC">
        <w:t>possibility</w:t>
      </w:r>
      <w:r w:rsidR="001132C9">
        <w:t xml:space="preserve"> of exposure to the virus and slow the spread of the disease</w:t>
      </w:r>
      <w:r w:rsidR="00DB23FC">
        <w:t>, and several North Carolina counties have issued “stay at home” orders as a precautionary measure.</w:t>
      </w:r>
    </w:p>
    <w:p w14:paraId="5FA01E4B" w14:textId="77777777" w:rsidR="00DB23FC" w:rsidRDefault="00DB23FC" w:rsidP="007723E2">
      <w:pPr>
        <w:jc w:val="both"/>
      </w:pPr>
    </w:p>
    <w:p w14:paraId="512AB6F8" w14:textId="6359FB21" w:rsidR="007723E2" w:rsidRPr="003F7751" w:rsidRDefault="006C43E8" w:rsidP="007723E2">
      <w:pPr>
        <w:jc w:val="both"/>
      </w:pPr>
      <w:r>
        <w:t>Based on the above</w:t>
      </w:r>
      <w:bookmarkStart w:id="0" w:name="_GoBack"/>
      <w:bookmarkEnd w:id="0"/>
      <w:r w:rsidR="00DB23FC">
        <w:t>, t</w:t>
      </w:r>
      <w:r w:rsidR="007723E2" w:rsidRPr="00C40BE4">
        <w:t xml:space="preserve">he </w:t>
      </w:r>
      <w:r w:rsidR="007723E2">
        <w:t xml:space="preserve">U.S. Bankruptcy Administrator for the Middle District of </w:t>
      </w:r>
      <w:r w:rsidR="00CF3B9B">
        <w:t>North Carolina</w:t>
      </w:r>
      <w:r w:rsidR="007723E2">
        <w:t xml:space="preserve"> </w:t>
      </w:r>
      <w:r w:rsidR="007723E2" w:rsidRPr="00C40BE4">
        <w:t>is implementing the following temporary policies and procedures with respect to</w:t>
      </w:r>
      <w:r w:rsidR="007723E2">
        <w:t xml:space="preserve"> </w:t>
      </w:r>
      <w:r w:rsidR="0096208B">
        <w:t>all</w:t>
      </w:r>
      <w:r w:rsidR="007723E2">
        <w:t xml:space="preserve"> </w:t>
      </w:r>
      <w:r w:rsidR="004319FF">
        <w:t xml:space="preserve">Chapter 7 </w:t>
      </w:r>
      <w:r w:rsidR="007723E2">
        <w:t xml:space="preserve">Section </w:t>
      </w:r>
      <w:r w:rsidR="007723E2" w:rsidRPr="00C40BE4">
        <w:t>341 meetings</w:t>
      </w:r>
      <w:r w:rsidR="007723E2" w:rsidRPr="003F7751">
        <w:t xml:space="preserve"> of creditors, which policies and procedures will take effect immediately.  </w:t>
      </w:r>
    </w:p>
    <w:p w14:paraId="092B58AC" w14:textId="590FF2BB" w:rsidR="00CF3B9B" w:rsidRDefault="00CF3B9B" w:rsidP="007723E2">
      <w:pPr>
        <w:jc w:val="both"/>
        <w:rPr>
          <w:b/>
          <w:u w:val="single"/>
        </w:rPr>
      </w:pPr>
    </w:p>
    <w:p w14:paraId="53DFC5F3" w14:textId="16008FEF" w:rsidR="005172E3" w:rsidRDefault="005172E3" w:rsidP="007723E2">
      <w:pPr>
        <w:jc w:val="both"/>
        <w:rPr>
          <w:b/>
          <w:u w:val="single"/>
        </w:rPr>
      </w:pPr>
      <w:r>
        <w:rPr>
          <w:b/>
          <w:u w:val="single"/>
        </w:rPr>
        <w:t xml:space="preserve">All </w:t>
      </w:r>
      <w:r w:rsidR="004319FF">
        <w:rPr>
          <w:b/>
          <w:u w:val="single"/>
        </w:rPr>
        <w:t xml:space="preserve">Chapter 7 </w:t>
      </w:r>
      <w:r>
        <w:rPr>
          <w:b/>
          <w:u w:val="single"/>
        </w:rPr>
        <w:t>341 meetings scheduled for March 20, 2020 and March 27, 2020 will be continued to the Trustee’s next 341 hearing date.</w:t>
      </w:r>
    </w:p>
    <w:p w14:paraId="4771676E" w14:textId="77777777" w:rsidR="005172E3" w:rsidRDefault="005172E3" w:rsidP="007723E2">
      <w:pPr>
        <w:jc w:val="both"/>
        <w:rPr>
          <w:b/>
          <w:u w:val="single"/>
        </w:rPr>
      </w:pPr>
    </w:p>
    <w:p w14:paraId="77722B73" w14:textId="1E20F891" w:rsidR="007723E2" w:rsidRPr="0043493C" w:rsidRDefault="007723E2" w:rsidP="007723E2">
      <w:pPr>
        <w:jc w:val="both"/>
        <w:rPr>
          <w:b/>
        </w:rPr>
      </w:pPr>
      <w:r>
        <w:rPr>
          <w:b/>
          <w:u w:val="single"/>
        </w:rPr>
        <w:t>A</w:t>
      </w:r>
      <w:r w:rsidRPr="00D152F4">
        <w:rPr>
          <w:b/>
          <w:u w:val="single"/>
        </w:rPr>
        <w:t xml:space="preserve">ll </w:t>
      </w:r>
      <w:r w:rsidR="004319FF">
        <w:rPr>
          <w:b/>
          <w:u w:val="single"/>
        </w:rPr>
        <w:t xml:space="preserve">Chapter 7 </w:t>
      </w:r>
      <w:r w:rsidRPr="00D152F4">
        <w:rPr>
          <w:b/>
          <w:u w:val="single"/>
        </w:rPr>
        <w:t xml:space="preserve">341 meetings will be conducted </w:t>
      </w:r>
      <w:r w:rsidR="00F461E0">
        <w:rPr>
          <w:b/>
          <w:u w:val="single"/>
        </w:rPr>
        <w:t>t</w:t>
      </w:r>
      <w:r w:rsidRPr="00D152F4">
        <w:rPr>
          <w:b/>
          <w:u w:val="single"/>
        </w:rPr>
        <w:t>elephonically</w:t>
      </w:r>
      <w:r w:rsidR="00F461E0">
        <w:rPr>
          <w:b/>
          <w:u w:val="single"/>
        </w:rPr>
        <w:t xml:space="preserve"> until further notice</w:t>
      </w:r>
      <w:r w:rsidR="005172E3">
        <w:rPr>
          <w:b/>
          <w:u w:val="single"/>
        </w:rPr>
        <w:t>, beginning on March 30, 2020</w:t>
      </w:r>
      <w:r w:rsidRPr="005172E3">
        <w:rPr>
          <w:b/>
        </w:rPr>
        <w:t>.</w:t>
      </w:r>
      <w:r w:rsidR="005172E3" w:rsidRPr="005172E3">
        <w:rPr>
          <w:b/>
        </w:rPr>
        <w:t xml:space="preserve"> </w:t>
      </w:r>
      <w:r w:rsidRPr="009277CF">
        <w:rPr>
          <w:b/>
        </w:rPr>
        <w:t>Formal notices will be</w:t>
      </w:r>
      <w:r>
        <w:rPr>
          <w:b/>
        </w:rPr>
        <w:t xml:space="preserve"> sent by the</w:t>
      </w:r>
      <w:r w:rsidRPr="009277CF">
        <w:rPr>
          <w:b/>
        </w:rPr>
        <w:t xml:space="preserve"> Court and properly served on all parties on the matrix setting out the call-in number and code for the telephonic hearing.</w:t>
      </w:r>
      <w:r w:rsidR="0043493C">
        <w:t xml:space="preserve"> </w:t>
      </w:r>
      <w:r w:rsidR="0043493C">
        <w:rPr>
          <w:b/>
        </w:rPr>
        <w:t xml:space="preserve">Updated 341 calendars specifying a call-in time for each case will be posted on the Court’s calendar webpage prior to the 341 meeting. </w:t>
      </w:r>
    </w:p>
    <w:p w14:paraId="2911ACCC" w14:textId="77777777" w:rsidR="00CF3B9B" w:rsidRPr="003F7751" w:rsidRDefault="00CF3B9B" w:rsidP="007723E2">
      <w:pPr>
        <w:jc w:val="both"/>
      </w:pPr>
    </w:p>
    <w:p w14:paraId="71F9C1A7" w14:textId="076FAF92" w:rsidR="007723E2" w:rsidRDefault="007723E2" w:rsidP="007723E2">
      <w:pPr>
        <w:jc w:val="both"/>
      </w:pPr>
      <w:r w:rsidRPr="003F7751">
        <w:t xml:space="preserve">Debtors and their counsel as well as any creditors or interested parties wishing to appear at a 341 meeting should </w:t>
      </w:r>
      <w:r w:rsidRPr="003F7751">
        <w:rPr>
          <w:b/>
          <w:u w:val="single"/>
        </w:rPr>
        <w:t>not</w:t>
      </w:r>
      <w:r w:rsidRPr="003F7751">
        <w:t xml:space="preserve"> report to the physical location of the originally scheduled 341 meeting but should instead make plans to appear remotely by phone. </w:t>
      </w:r>
      <w:r>
        <w:t>Counsel may request debtors appear at their offices, at their own discretion.</w:t>
      </w:r>
    </w:p>
    <w:p w14:paraId="62AF2F88" w14:textId="77777777" w:rsidR="00CF3B9B" w:rsidRPr="003F7751" w:rsidRDefault="00CF3B9B" w:rsidP="007723E2">
      <w:pPr>
        <w:jc w:val="both"/>
      </w:pPr>
    </w:p>
    <w:p w14:paraId="15870CA5" w14:textId="2A8CEF4F" w:rsidR="007723E2" w:rsidRDefault="00DF3D1A" w:rsidP="007723E2">
      <w:pPr>
        <w:jc w:val="both"/>
      </w:pPr>
      <w:r>
        <w:t xml:space="preserve">The Trustee and/or </w:t>
      </w:r>
      <w:r w:rsidR="005172E3">
        <w:t>a member of the Bankruptcy Administrator’s staff will be present at the originally scheduled location and host the meetings by conference call. A</w:t>
      </w:r>
      <w:r w:rsidR="007723E2" w:rsidRPr="003F7751">
        <w:t xml:space="preserve"> </w:t>
      </w:r>
      <w:r w:rsidR="007723E2">
        <w:t xml:space="preserve">call-in </w:t>
      </w:r>
      <w:r w:rsidR="007723E2" w:rsidRPr="003F7751">
        <w:t>number and access code will be provided to all parties</w:t>
      </w:r>
      <w:r w:rsidR="00CF3B9B">
        <w:t xml:space="preserve"> via the formal notice referenced above</w:t>
      </w:r>
      <w:r w:rsidR="007723E2" w:rsidRPr="003F7751">
        <w:t>.</w:t>
      </w:r>
    </w:p>
    <w:p w14:paraId="3D29A6E0" w14:textId="77777777" w:rsidR="00CF3B9B" w:rsidRDefault="00CF3B9B" w:rsidP="007723E2">
      <w:pPr>
        <w:jc w:val="both"/>
      </w:pPr>
    </w:p>
    <w:p w14:paraId="78FCDBD9" w14:textId="5B5EF396" w:rsidR="007723E2" w:rsidRDefault="007723E2" w:rsidP="007723E2">
      <w:pPr>
        <w:jc w:val="both"/>
      </w:pPr>
      <w:r w:rsidRPr="003F7751">
        <w:t xml:space="preserve">To </w:t>
      </w:r>
      <w:r w:rsidR="005172E3">
        <w:t>minimize</w:t>
      </w:r>
      <w:r w:rsidRPr="003F7751">
        <w:t xml:space="preserve"> foreseeable problems and unnecessary d</w:t>
      </w:r>
      <w:r>
        <w:t xml:space="preserve">elay, counsel </w:t>
      </w:r>
      <w:proofErr w:type="gramStart"/>
      <w:r>
        <w:t>are</w:t>
      </w:r>
      <w:proofErr w:type="gramEnd"/>
      <w:r>
        <w:t xml:space="preserve"> </w:t>
      </w:r>
      <w:r w:rsidRPr="003F7751">
        <w:t>encouraged to assist in implementing the following phone etiquette guidelines, which will be required of all parties:</w:t>
      </w:r>
    </w:p>
    <w:p w14:paraId="7BC0AA12" w14:textId="77777777" w:rsidR="00E42AA7" w:rsidRPr="003F7751" w:rsidRDefault="00E42AA7" w:rsidP="007723E2">
      <w:pPr>
        <w:jc w:val="both"/>
      </w:pPr>
    </w:p>
    <w:p w14:paraId="178AFFBB" w14:textId="3BF988ED" w:rsidR="007723E2" w:rsidRPr="003F7751" w:rsidRDefault="007723E2" w:rsidP="007723E2">
      <w:pPr>
        <w:pStyle w:val="ListParagraph"/>
        <w:numPr>
          <w:ilvl w:val="0"/>
          <w:numId w:val="1"/>
        </w:numPr>
        <w:jc w:val="both"/>
        <w:rPr>
          <w:rFonts w:ascii="Times New Roman" w:hAnsi="Times New Roman" w:cs="Times New Roman"/>
          <w:sz w:val="24"/>
          <w:szCs w:val="24"/>
        </w:rPr>
      </w:pPr>
      <w:r w:rsidRPr="004C5598">
        <w:rPr>
          <w:rFonts w:ascii="Times New Roman" w:hAnsi="Times New Roman" w:cs="Times New Roman"/>
          <w:b/>
          <w:bCs/>
          <w:sz w:val="24"/>
          <w:szCs w:val="24"/>
        </w:rPr>
        <w:t xml:space="preserve">Mute </w:t>
      </w:r>
      <w:r w:rsidRPr="003F7751">
        <w:rPr>
          <w:rFonts w:ascii="Times New Roman" w:hAnsi="Times New Roman" w:cs="Times New Roman"/>
          <w:sz w:val="24"/>
          <w:szCs w:val="24"/>
        </w:rPr>
        <w:t>the call while your meeting is not being held.</w:t>
      </w:r>
      <w:r w:rsidR="004F5E1F">
        <w:rPr>
          <w:rFonts w:ascii="Times New Roman" w:hAnsi="Times New Roman" w:cs="Times New Roman"/>
          <w:sz w:val="24"/>
          <w:szCs w:val="24"/>
        </w:rPr>
        <w:t xml:space="preserve"> Do not place the call on hold.</w:t>
      </w:r>
    </w:p>
    <w:p w14:paraId="4A8171FD" w14:textId="77777777" w:rsidR="007723E2" w:rsidRPr="003F7751" w:rsidRDefault="007723E2" w:rsidP="007723E2">
      <w:pPr>
        <w:pStyle w:val="ListParagraph"/>
        <w:numPr>
          <w:ilvl w:val="0"/>
          <w:numId w:val="1"/>
        </w:numPr>
        <w:jc w:val="both"/>
        <w:rPr>
          <w:rFonts w:ascii="Times New Roman" w:hAnsi="Times New Roman" w:cs="Times New Roman"/>
          <w:sz w:val="24"/>
          <w:szCs w:val="24"/>
        </w:rPr>
      </w:pPr>
      <w:r w:rsidRPr="003F7751">
        <w:rPr>
          <w:rFonts w:ascii="Times New Roman" w:hAnsi="Times New Roman" w:cs="Times New Roman"/>
          <w:sz w:val="24"/>
          <w:szCs w:val="24"/>
        </w:rPr>
        <w:t>Speak clearly.</w:t>
      </w:r>
    </w:p>
    <w:p w14:paraId="62FED492" w14:textId="77777777" w:rsidR="007723E2" w:rsidRPr="003F7751" w:rsidRDefault="007723E2" w:rsidP="007723E2">
      <w:pPr>
        <w:pStyle w:val="ListParagraph"/>
        <w:numPr>
          <w:ilvl w:val="0"/>
          <w:numId w:val="1"/>
        </w:numPr>
        <w:jc w:val="both"/>
        <w:rPr>
          <w:rFonts w:ascii="Times New Roman" w:hAnsi="Times New Roman" w:cs="Times New Roman"/>
          <w:sz w:val="24"/>
          <w:szCs w:val="24"/>
        </w:rPr>
      </w:pPr>
      <w:r w:rsidRPr="003F7751">
        <w:rPr>
          <w:rFonts w:ascii="Times New Roman" w:hAnsi="Times New Roman" w:cs="Times New Roman"/>
          <w:sz w:val="24"/>
          <w:szCs w:val="24"/>
        </w:rPr>
        <w:t>Limit all background noise while your meeting is being held.</w:t>
      </w:r>
    </w:p>
    <w:p w14:paraId="652DC0D3" w14:textId="77777777" w:rsidR="007723E2" w:rsidRPr="003F7751" w:rsidRDefault="007723E2" w:rsidP="007723E2">
      <w:pPr>
        <w:pStyle w:val="ListParagraph"/>
        <w:numPr>
          <w:ilvl w:val="0"/>
          <w:numId w:val="1"/>
        </w:numPr>
        <w:jc w:val="both"/>
        <w:rPr>
          <w:rFonts w:ascii="Times New Roman" w:hAnsi="Times New Roman" w:cs="Times New Roman"/>
          <w:sz w:val="24"/>
          <w:szCs w:val="24"/>
        </w:rPr>
      </w:pPr>
      <w:r w:rsidRPr="003F7751">
        <w:rPr>
          <w:rFonts w:ascii="Times New Roman" w:hAnsi="Times New Roman" w:cs="Times New Roman"/>
          <w:sz w:val="24"/>
          <w:szCs w:val="24"/>
        </w:rPr>
        <w:lastRenderedPageBreak/>
        <w:t>No speaker phone unless two or more persons are appearing on the same line</w:t>
      </w:r>
      <w:r>
        <w:rPr>
          <w:rFonts w:ascii="Times New Roman" w:hAnsi="Times New Roman" w:cs="Times New Roman"/>
          <w:sz w:val="24"/>
          <w:szCs w:val="24"/>
        </w:rPr>
        <w:t>, i.e., debtor and counsel or joint-filing debtors</w:t>
      </w:r>
      <w:r w:rsidRPr="003F7751">
        <w:rPr>
          <w:rFonts w:ascii="Times New Roman" w:hAnsi="Times New Roman" w:cs="Times New Roman"/>
          <w:sz w:val="24"/>
          <w:szCs w:val="24"/>
        </w:rPr>
        <w:t>.</w:t>
      </w:r>
    </w:p>
    <w:p w14:paraId="274B4C0D" w14:textId="77777777" w:rsidR="007723E2" w:rsidRPr="003F7751" w:rsidRDefault="007723E2" w:rsidP="007723E2">
      <w:pPr>
        <w:pStyle w:val="ListParagraph"/>
        <w:numPr>
          <w:ilvl w:val="0"/>
          <w:numId w:val="1"/>
        </w:numPr>
        <w:jc w:val="both"/>
        <w:rPr>
          <w:rFonts w:ascii="Times New Roman" w:hAnsi="Times New Roman" w:cs="Times New Roman"/>
          <w:sz w:val="24"/>
          <w:szCs w:val="24"/>
        </w:rPr>
      </w:pPr>
      <w:r w:rsidRPr="003F7751">
        <w:rPr>
          <w:rFonts w:ascii="Times New Roman" w:hAnsi="Times New Roman" w:cs="Times New Roman"/>
          <w:sz w:val="24"/>
          <w:szCs w:val="24"/>
        </w:rPr>
        <w:t>Debtors without phone access should appear for the telephonic meeting at their counsel</w:t>
      </w:r>
      <w:r>
        <w:rPr>
          <w:rFonts w:ascii="Times New Roman" w:hAnsi="Times New Roman" w:cs="Times New Roman"/>
          <w:sz w:val="24"/>
          <w:szCs w:val="24"/>
        </w:rPr>
        <w:t>’</w:t>
      </w:r>
      <w:r w:rsidRPr="003F7751">
        <w:rPr>
          <w:rFonts w:ascii="Times New Roman" w:hAnsi="Times New Roman" w:cs="Times New Roman"/>
          <w:sz w:val="24"/>
          <w:szCs w:val="24"/>
        </w:rPr>
        <w:t>s office.</w:t>
      </w:r>
    </w:p>
    <w:p w14:paraId="0EB149B2" w14:textId="77777777" w:rsidR="007723E2" w:rsidRPr="003F7751" w:rsidRDefault="007723E2" w:rsidP="007723E2">
      <w:pPr>
        <w:pStyle w:val="ListParagraph"/>
        <w:numPr>
          <w:ilvl w:val="0"/>
          <w:numId w:val="1"/>
        </w:numPr>
        <w:jc w:val="both"/>
        <w:rPr>
          <w:rFonts w:ascii="Times New Roman" w:hAnsi="Times New Roman" w:cs="Times New Roman"/>
          <w:sz w:val="24"/>
          <w:szCs w:val="24"/>
        </w:rPr>
      </w:pPr>
      <w:r w:rsidRPr="003F7751">
        <w:rPr>
          <w:rFonts w:ascii="Times New Roman" w:hAnsi="Times New Roman" w:cs="Times New Roman"/>
          <w:sz w:val="24"/>
          <w:szCs w:val="24"/>
        </w:rPr>
        <w:t>Debtors and counsel are to be at a set location, and not in transit, so that full attention can be given to the questions being asked.</w:t>
      </w:r>
    </w:p>
    <w:p w14:paraId="4264E344" w14:textId="17C0D7DA" w:rsidR="007723E2" w:rsidRDefault="007723E2" w:rsidP="007723E2">
      <w:pPr>
        <w:pStyle w:val="ListParagraph"/>
        <w:numPr>
          <w:ilvl w:val="0"/>
          <w:numId w:val="1"/>
        </w:numPr>
        <w:jc w:val="both"/>
        <w:rPr>
          <w:rFonts w:ascii="Times New Roman" w:hAnsi="Times New Roman" w:cs="Times New Roman"/>
          <w:sz w:val="24"/>
          <w:szCs w:val="24"/>
        </w:rPr>
      </w:pPr>
      <w:r w:rsidRPr="003F7751">
        <w:rPr>
          <w:rFonts w:ascii="Times New Roman" w:hAnsi="Times New Roman" w:cs="Times New Roman"/>
          <w:sz w:val="24"/>
          <w:szCs w:val="24"/>
        </w:rPr>
        <w:t>Only debtors and their counsel as well as creditors or interested parties will be allowed on the call, i.e., no “moral support” or supplementary answers to be provided by friends or family.</w:t>
      </w:r>
    </w:p>
    <w:p w14:paraId="5C257600" w14:textId="5996E0E3" w:rsidR="004F5E1F" w:rsidRPr="004F5E1F" w:rsidRDefault="004F5E1F" w:rsidP="004F5E1F">
      <w:pPr>
        <w:ind w:left="720"/>
        <w:jc w:val="both"/>
      </w:pPr>
    </w:p>
    <w:p w14:paraId="336F8AFC" w14:textId="77777777" w:rsidR="007723E2" w:rsidRPr="003F7751" w:rsidRDefault="007723E2" w:rsidP="007723E2">
      <w:pPr>
        <w:pStyle w:val="ListParagraph"/>
        <w:numPr>
          <w:ilvl w:val="0"/>
          <w:numId w:val="1"/>
        </w:numPr>
        <w:jc w:val="both"/>
        <w:rPr>
          <w:rFonts w:ascii="Times New Roman" w:hAnsi="Times New Roman" w:cs="Times New Roman"/>
          <w:sz w:val="24"/>
          <w:szCs w:val="24"/>
        </w:rPr>
      </w:pPr>
      <w:r w:rsidRPr="003F7751">
        <w:rPr>
          <w:rFonts w:ascii="Times New Roman" w:hAnsi="Times New Roman" w:cs="Times New Roman"/>
          <w:sz w:val="24"/>
          <w:szCs w:val="24"/>
        </w:rPr>
        <w:t>Any telephonic appearances by debtors without their counsel also present on the call will result in a continuance.</w:t>
      </w:r>
    </w:p>
    <w:p w14:paraId="5933B2DF" w14:textId="198F005D" w:rsidR="007723E2" w:rsidRDefault="007723E2" w:rsidP="00E42AA7">
      <w:pPr>
        <w:widowControl/>
        <w:jc w:val="both"/>
      </w:pPr>
      <w:bookmarkStart w:id="1" w:name="_Hlk35434943"/>
      <w:r w:rsidRPr="003F7751">
        <w:t>To make the telephonic process as efficient as possible</w:t>
      </w:r>
      <w:r>
        <w:t xml:space="preserve"> and to enable the Trustee to verify the identity of the debtor(s)</w:t>
      </w:r>
      <w:r w:rsidRPr="003F7751">
        <w:t xml:space="preserve">, </w:t>
      </w:r>
      <w:r>
        <w:t xml:space="preserve">a copy of the debtor’s </w:t>
      </w:r>
      <w:r w:rsidR="00EF3DD6">
        <w:t xml:space="preserve">driver’s license or government </w:t>
      </w:r>
      <w:r w:rsidR="00C127A1">
        <w:t xml:space="preserve">issued </w:t>
      </w:r>
      <w:r w:rsidR="00EF3DD6">
        <w:t>picture ID</w:t>
      </w:r>
      <w:r w:rsidRPr="003F7751">
        <w:t xml:space="preserve"> </w:t>
      </w:r>
      <w:r w:rsidRPr="003F7751">
        <w:rPr>
          <w:b/>
          <w:u w:val="single"/>
        </w:rPr>
        <w:t>MUST</w:t>
      </w:r>
      <w:r w:rsidRPr="003F7751">
        <w:t xml:space="preserve"> be sent to the Trustee by</w:t>
      </w:r>
      <w:r w:rsidR="00E11D50">
        <w:t xml:space="preserve"> email or secure document portal, per the Trustee’s instructions, by </w:t>
      </w:r>
      <w:r w:rsidRPr="003F7751">
        <w:t>12:00 noon two</w:t>
      </w:r>
      <w:r>
        <w:t xml:space="preserve"> business</w:t>
      </w:r>
      <w:r w:rsidRPr="003F7751">
        <w:t xml:space="preserve"> (2) days prior to the 341 meeting</w:t>
      </w:r>
      <w:r>
        <w:t xml:space="preserve">. </w:t>
      </w:r>
      <w:r w:rsidR="00F83025">
        <w:t>Debtors should have that ID documentation available d</w:t>
      </w:r>
      <w:r w:rsidR="006E4672">
        <w:t>uring the telephonic examination</w:t>
      </w:r>
      <w:r w:rsidR="00F83025">
        <w:t>.</w:t>
      </w:r>
    </w:p>
    <w:bookmarkEnd w:id="1"/>
    <w:p w14:paraId="7EFCD234" w14:textId="77777777" w:rsidR="00E42AA7" w:rsidRDefault="00E42AA7" w:rsidP="007723E2">
      <w:pPr>
        <w:jc w:val="both"/>
      </w:pPr>
    </w:p>
    <w:p w14:paraId="6AD0A727" w14:textId="1E0D9F4B" w:rsidR="008927AF" w:rsidRDefault="002B371B" w:rsidP="007723E2">
      <w:pPr>
        <w:jc w:val="both"/>
      </w:pPr>
      <w:r>
        <w:t>Trustees will provide Debtors with instructions on how to submit ID and a statement of post-341 continuing duties prior to the 341 meeting.</w:t>
      </w:r>
    </w:p>
    <w:p w14:paraId="557A1230" w14:textId="77777777" w:rsidR="002B371B" w:rsidRDefault="002B371B" w:rsidP="007723E2">
      <w:pPr>
        <w:jc w:val="both"/>
      </w:pPr>
    </w:p>
    <w:p w14:paraId="25FAF928" w14:textId="5B34B021" w:rsidR="00C06820" w:rsidRDefault="007723E2" w:rsidP="007723E2">
      <w:pPr>
        <w:jc w:val="both"/>
      </w:pPr>
      <w:r w:rsidRPr="003F7751">
        <w:t xml:space="preserve">These temporary policies and procedures do not otherwise affect </w:t>
      </w:r>
      <w:r>
        <w:t xml:space="preserve">a </w:t>
      </w:r>
      <w:r w:rsidRPr="003F7751">
        <w:t>debtor</w:t>
      </w:r>
      <w:r>
        <w:t xml:space="preserve">’s </w:t>
      </w:r>
      <w:r w:rsidR="00E11D50">
        <w:t>obligation</w:t>
      </w:r>
      <w:r w:rsidRPr="003F7751">
        <w:t xml:space="preserve"> to submit all other necessary documents</w:t>
      </w:r>
      <w:r w:rsidR="00F83025">
        <w:t xml:space="preserve"> to the Court and the Trustee. Debtors should provide the Trustee with DSO information prior to the meeting. </w:t>
      </w:r>
    </w:p>
    <w:p w14:paraId="29297351" w14:textId="77777777" w:rsidR="00266EEF" w:rsidRPr="003F7751" w:rsidRDefault="00266EEF" w:rsidP="007723E2">
      <w:pPr>
        <w:jc w:val="both"/>
      </w:pPr>
    </w:p>
    <w:p w14:paraId="38849F85" w14:textId="77777777" w:rsidR="007723E2" w:rsidRDefault="007723E2" w:rsidP="007723E2">
      <w:pPr>
        <w:jc w:val="both"/>
      </w:pPr>
      <w:r>
        <w:t>Thank you</w:t>
      </w:r>
      <w:r w:rsidRPr="003F7751">
        <w:t xml:space="preserve"> in advance for your patience and cooperation in implementing these temporary changes</w:t>
      </w:r>
      <w:r>
        <w:t xml:space="preserve">.  </w:t>
      </w:r>
    </w:p>
    <w:p w14:paraId="52E88144" w14:textId="77777777" w:rsidR="007723E2" w:rsidRDefault="007723E2" w:rsidP="007723E2">
      <w:pPr>
        <w:jc w:val="both"/>
      </w:pPr>
      <w:r>
        <w:tab/>
      </w:r>
      <w:r>
        <w:tab/>
      </w:r>
      <w:r>
        <w:tab/>
      </w:r>
      <w:r>
        <w:tab/>
      </w:r>
      <w:r>
        <w:tab/>
      </w:r>
      <w:r>
        <w:tab/>
      </w:r>
      <w:r>
        <w:tab/>
      </w:r>
      <w:r>
        <w:tab/>
      </w:r>
      <w:r>
        <w:tab/>
      </w:r>
      <w:r>
        <w:tab/>
      </w:r>
      <w:r>
        <w:tab/>
      </w:r>
      <w:r>
        <w:tab/>
      </w:r>
      <w:r>
        <w:tab/>
      </w:r>
      <w:r>
        <w:tab/>
      </w:r>
      <w:r>
        <w:tab/>
      </w:r>
      <w:r>
        <w:tab/>
      </w:r>
      <w:r>
        <w:tab/>
      </w:r>
      <w:r>
        <w:tab/>
      </w:r>
      <w:r>
        <w:tab/>
      </w:r>
      <w:r>
        <w:tab/>
      </w:r>
    </w:p>
    <w:p w14:paraId="2A109993" w14:textId="77777777" w:rsidR="001144D7" w:rsidRDefault="001144D7">
      <w:pPr>
        <w:rPr>
          <w:sz w:val="28"/>
          <w:szCs w:val="28"/>
        </w:rPr>
      </w:pPr>
    </w:p>
    <w:p w14:paraId="59E05845" w14:textId="77777777" w:rsidR="001144D7" w:rsidRDefault="001144D7">
      <w:pPr>
        <w:rPr>
          <w:sz w:val="28"/>
          <w:szCs w:val="28"/>
        </w:rPr>
      </w:pPr>
    </w:p>
    <w:p w14:paraId="0EA72DEE" w14:textId="77777777" w:rsidR="001144D7" w:rsidRDefault="001144D7">
      <w:pPr>
        <w:rPr>
          <w:sz w:val="28"/>
          <w:szCs w:val="28"/>
        </w:rPr>
      </w:pPr>
    </w:p>
    <w:p w14:paraId="3E99B54A" w14:textId="77777777" w:rsidR="001144D7" w:rsidRDefault="001144D7">
      <w:pPr>
        <w:rPr>
          <w:sz w:val="28"/>
          <w:szCs w:val="28"/>
        </w:rPr>
      </w:pPr>
    </w:p>
    <w:p w14:paraId="29CCA9B5" w14:textId="77777777" w:rsidR="001144D7" w:rsidRDefault="001144D7">
      <w:pPr>
        <w:ind w:firstLine="3600"/>
        <w:rPr>
          <w:sz w:val="28"/>
          <w:szCs w:val="28"/>
        </w:rPr>
      </w:pPr>
    </w:p>
    <w:p w14:paraId="2B9745B8" w14:textId="77777777" w:rsidR="001144D7" w:rsidRDefault="001144D7">
      <w:pPr>
        <w:rPr>
          <w:sz w:val="28"/>
          <w:szCs w:val="28"/>
        </w:rPr>
      </w:pPr>
    </w:p>
    <w:p w14:paraId="655A69D3" w14:textId="77777777" w:rsidR="001144D7" w:rsidRDefault="001144D7">
      <w:pPr>
        <w:rPr>
          <w:sz w:val="28"/>
          <w:szCs w:val="28"/>
        </w:rPr>
      </w:pPr>
    </w:p>
    <w:p w14:paraId="589AB684" w14:textId="77777777" w:rsidR="001144D7" w:rsidRDefault="001144D7">
      <w:pPr>
        <w:rPr>
          <w:sz w:val="28"/>
          <w:szCs w:val="28"/>
        </w:rPr>
      </w:pPr>
    </w:p>
    <w:p w14:paraId="4258D140" w14:textId="77777777" w:rsidR="001144D7" w:rsidRDefault="001144D7">
      <w:pPr>
        <w:rPr>
          <w:sz w:val="28"/>
          <w:szCs w:val="28"/>
        </w:rPr>
      </w:pPr>
    </w:p>
    <w:p w14:paraId="64606248" w14:textId="77777777" w:rsidR="001144D7" w:rsidRDefault="001144D7">
      <w:pPr>
        <w:jc w:val="right"/>
        <w:rPr>
          <w:b/>
          <w:bCs/>
          <w:sz w:val="28"/>
          <w:szCs w:val="28"/>
        </w:rPr>
      </w:pPr>
    </w:p>
    <w:p w14:paraId="60A762C9" w14:textId="77777777" w:rsidR="001144D7" w:rsidRDefault="001144D7"/>
    <w:sectPr w:rsidR="001144D7" w:rsidSect="001144D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F6CC2"/>
    <w:multiLevelType w:val="hybridMultilevel"/>
    <w:tmpl w:val="07F8391E"/>
    <w:lvl w:ilvl="0" w:tplc="35D6A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F31AB0"/>
    <w:multiLevelType w:val="hybridMultilevel"/>
    <w:tmpl w:val="11D6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D7"/>
    <w:rsid w:val="00045878"/>
    <w:rsid w:val="0006000D"/>
    <w:rsid w:val="000B37F9"/>
    <w:rsid w:val="001132C9"/>
    <w:rsid w:val="001144D7"/>
    <w:rsid w:val="00266EEF"/>
    <w:rsid w:val="00282AF7"/>
    <w:rsid w:val="002B371B"/>
    <w:rsid w:val="003004ED"/>
    <w:rsid w:val="003B5ACE"/>
    <w:rsid w:val="004218C2"/>
    <w:rsid w:val="004319FF"/>
    <w:rsid w:val="0043493C"/>
    <w:rsid w:val="00452F76"/>
    <w:rsid w:val="00455C2E"/>
    <w:rsid w:val="004F5E1F"/>
    <w:rsid w:val="005172E3"/>
    <w:rsid w:val="00585C78"/>
    <w:rsid w:val="0060685F"/>
    <w:rsid w:val="00610B4D"/>
    <w:rsid w:val="00666D8C"/>
    <w:rsid w:val="00675DC1"/>
    <w:rsid w:val="006918B9"/>
    <w:rsid w:val="006A30BD"/>
    <w:rsid w:val="006C43E8"/>
    <w:rsid w:val="006E4672"/>
    <w:rsid w:val="0071016A"/>
    <w:rsid w:val="007723E2"/>
    <w:rsid w:val="00853A06"/>
    <w:rsid w:val="008927AF"/>
    <w:rsid w:val="0089601E"/>
    <w:rsid w:val="008C3754"/>
    <w:rsid w:val="009242FE"/>
    <w:rsid w:val="0096208B"/>
    <w:rsid w:val="009A4E30"/>
    <w:rsid w:val="00A4257A"/>
    <w:rsid w:val="00B04898"/>
    <w:rsid w:val="00B1227C"/>
    <w:rsid w:val="00B7416F"/>
    <w:rsid w:val="00BE1C58"/>
    <w:rsid w:val="00C06820"/>
    <w:rsid w:val="00C127A1"/>
    <w:rsid w:val="00C87C03"/>
    <w:rsid w:val="00CA4E74"/>
    <w:rsid w:val="00CC50CD"/>
    <w:rsid w:val="00CE0583"/>
    <w:rsid w:val="00CE53FF"/>
    <w:rsid w:val="00CF3B9B"/>
    <w:rsid w:val="00DB23FC"/>
    <w:rsid w:val="00DE44AF"/>
    <w:rsid w:val="00DF3D1A"/>
    <w:rsid w:val="00E11D50"/>
    <w:rsid w:val="00E42AA7"/>
    <w:rsid w:val="00E43163"/>
    <w:rsid w:val="00EF3DD6"/>
    <w:rsid w:val="00F159E7"/>
    <w:rsid w:val="00F461E0"/>
    <w:rsid w:val="00F568DB"/>
    <w:rsid w:val="00F83025"/>
    <w:rsid w:val="00FD63E5"/>
    <w:rsid w:val="00FE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37286"/>
  <w14:defaultImageDpi w14:val="0"/>
  <w15:docId w15:val="{2D014077-9024-4DAA-B875-8E46C249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7723E2"/>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723E2"/>
    <w:rPr>
      <w:color w:val="0563C1" w:themeColor="hyperlink"/>
      <w:u w:val="single"/>
    </w:rPr>
  </w:style>
  <w:style w:type="paragraph" w:styleId="BalloonText">
    <w:name w:val="Balloon Text"/>
    <w:basedOn w:val="Normal"/>
    <w:link w:val="BalloonTextChar"/>
    <w:uiPriority w:val="99"/>
    <w:semiHidden/>
    <w:unhideWhenUsed/>
    <w:rsid w:val="006A3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0BD"/>
    <w:rPr>
      <w:rFonts w:ascii="Segoe UI" w:hAnsi="Segoe UI" w:cs="Segoe UI"/>
      <w:sz w:val="18"/>
      <w:szCs w:val="18"/>
    </w:rPr>
  </w:style>
  <w:style w:type="character" w:styleId="UnresolvedMention">
    <w:name w:val="Unresolved Mention"/>
    <w:basedOn w:val="DefaultParagraphFont"/>
    <w:uiPriority w:val="99"/>
    <w:semiHidden/>
    <w:unhideWhenUsed/>
    <w:rsid w:val="00E42A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Jordan</dc:creator>
  <cp:keywords/>
  <dc:description/>
  <cp:lastModifiedBy>Sarah Bruce</cp:lastModifiedBy>
  <cp:revision>4</cp:revision>
  <cp:lastPrinted>2020-03-16T18:38:00Z</cp:lastPrinted>
  <dcterms:created xsi:type="dcterms:W3CDTF">2020-03-26T16:51:00Z</dcterms:created>
  <dcterms:modified xsi:type="dcterms:W3CDTF">2020-03-26T20:22:00Z</dcterms:modified>
</cp:coreProperties>
</file>