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88B4" w14:textId="77777777" w:rsidR="00A12B1A" w:rsidRPr="00183314" w:rsidRDefault="00A12B1A" w:rsidP="00A12B1A">
      <w:pPr>
        <w:autoSpaceDE w:val="0"/>
        <w:autoSpaceDN w:val="0"/>
        <w:adjustRightInd w:val="0"/>
        <w:spacing w:after="0" w:line="240" w:lineRule="auto"/>
        <w:ind w:left="1440" w:firstLine="720"/>
        <w:rPr>
          <w:rFonts w:ascii="Arial" w:hAnsi="Arial" w:cs="Arial"/>
          <w:b/>
          <w:bCs/>
          <w:i/>
          <w:iCs/>
          <w:sz w:val="28"/>
          <w:szCs w:val="28"/>
        </w:rPr>
      </w:pPr>
      <w:r w:rsidRPr="00183314">
        <w:rPr>
          <w:rFonts w:ascii="Courier" w:hAnsi="Courier"/>
          <w:sz w:val="24"/>
          <w:szCs w:val="24"/>
          <w:lang w:val="en-CA"/>
        </w:rPr>
        <w:fldChar w:fldCharType="begin"/>
      </w:r>
      <w:r w:rsidRPr="00183314">
        <w:rPr>
          <w:rFonts w:ascii="Courier" w:hAnsi="Courier"/>
          <w:sz w:val="24"/>
          <w:szCs w:val="24"/>
          <w:lang w:val="en-CA"/>
        </w:rPr>
        <w:instrText xml:space="preserve"> SEQ CHAPTER \h \r 1</w:instrText>
      </w:r>
      <w:r w:rsidRPr="00183314">
        <w:rPr>
          <w:rFonts w:ascii="Courier" w:hAnsi="Courier"/>
          <w:sz w:val="24"/>
          <w:szCs w:val="24"/>
          <w:lang w:val="en-CA"/>
        </w:rPr>
        <w:fldChar w:fldCharType="end"/>
      </w:r>
      <w:r w:rsidRPr="00183314">
        <w:rPr>
          <w:rFonts w:ascii="Arial" w:hAnsi="Arial" w:cs="Arial"/>
          <w:b/>
          <w:bCs/>
          <w:i/>
          <w:iCs/>
          <w:sz w:val="28"/>
          <w:szCs w:val="28"/>
        </w:rPr>
        <w:t>United States Bankruptcy Administrator</w:t>
      </w:r>
    </w:p>
    <w:p w14:paraId="26AA559B" w14:textId="77777777" w:rsidR="00A12B1A" w:rsidRPr="00183314" w:rsidRDefault="00A12B1A" w:rsidP="00A12B1A">
      <w:pPr>
        <w:autoSpaceDE w:val="0"/>
        <w:autoSpaceDN w:val="0"/>
        <w:adjustRightInd w:val="0"/>
        <w:spacing w:after="0" w:line="240" w:lineRule="auto"/>
        <w:jc w:val="center"/>
        <w:rPr>
          <w:rFonts w:ascii="Arial" w:hAnsi="Arial" w:cs="Arial"/>
          <w:b/>
          <w:bCs/>
          <w:i/>
          <w:iCs/>
          <w:sz w:val="28"/>
          <w:szCs w:val="28"/>
        </w:rPr>
      </w:pPr>
      <w:r w:rsidRPr="00183314">
        <w:rPr>
          <w:rFonts w:ascii="Arial" w:hAnsi="Arial" w:cs="Arial"/>
          <w:b/>
          <w:bCs/>
          <w:i/>
          <w:iCs/>
          <w:sz w:val="28"/>
          <w:szCs w:val="28"/>
        </w:rPr>
        <w:t>Middle District of North Carolina</w:t>
      </w:r>
    </w:p>
    <w:p w14:paraId="6FA2EAA8" w14:textId="77777777" w:rsidR="00A12B1A" w:rsidRPr="00183314" w:rsidRDefault="00A12B1A" w:rsidP="004C6C32">
      <w:pPr>
        <w:autoSpaceDE w:val="0"/>
        <w:autoSpaceDN w:val="0"/>
        <w:adjustRightInd w:val="0"/>
        <w:spacing w:after="0" w:line="240" w:lineRule="auto"/>
        <w:jc w:val="center"/>
        <w:rPr>
          <w:rFonts w:ascii="Arial" w:hAnsi="Arial" w:cs="Arial"/>
          <w:b/>
          <w:bCs/>
          <w:i/>
          <w:iCs/>
          <w:sz w:val="28"/>
          <w:szCs w:val="28"/>
        </w:rPr>
      </w:pPr>
      <w:r w:rsidRPr="00183314">
        <w:rPr>
          <w:rFonts w:ascii="Arial" w:hAnsi="Arial" w:cs="Arial"/>
          <w:b/>
          <w:bCs/>
          <w:i/>
          <w:iCs/>
          <w:sz w:val="28"/>
          <w:szCs w:val="28"/>
        </w:rPr>
        <w:t>101 S. Edgeworth Street</w:t>
      </w:r>
    </w:p>
    <w:p w14:paraId="58111695" w14:textId="77777777" w:rsidR="00A12B1A" w:rsidRPr="00183314" w:rsidRDefault="004C6C32" w:rsidP="00A12B1A">
      <w:pPr>
        <w:autoSpaceDE w:val="0"/>
        <w:autoSpaceDN w:val="0"/>
        <w:adjustRightInd w:val="0"/>
        <w:spacing w:after="0" w:line="240" w:lineRule="auto"/>
        <w:jc w:val="center"/>
        <w:rPr>
          <w:rFonts w:ascii="Arial" w:hAnsi="Arial" w:cs="Arial"/>
          <w:b/>
          <w:bCs/>
          <w:i/>
          <w:iCs/>
          <w:sz w:val="28"/>
          <w:szCs w:val="28"/>
        </w:rPr>
      </w:pPr>
      <w:r>
        <w:rPr>
          <w:rFonts w:ascii="Arial" w:hAnsi="Arial" w:cs="Arial"/>
          <w:b/>
          <w:bCs/>
          <w:i/>
          <w:iCs/>
          <w:sz w:val="28"/>
          <w:szCs w:val="28"/>
        </w:rPr>
        <w:t>Greensboro, North Carolina 27401</w:t>
      </w:r>
    </w:p>
    <w:p w14:paraId="229C2D2B" w14:textId="77777777" w:rsidR="00A12B1A" w:rsidRPr="00183314" w:rsidRDefault="00A12B1A" w:rsidP="00A12B1A">
      <w:pPr>
        <w:autoSpaceDE w:val="0"/>
        <w:autoSpaceDN w:val="0"/>
        <w:adjustRightInd w:val="0"/>
        <w:spacing w:after="0" w:line="240" w:lineRule="auto"/>
        <w:jc w:val="center"/>
        <w:rPr>
          <w:rFonts w:ascii="Arial" w:hAnsi="Arial" w:cs="Arial"/>
          <w:b/>
          <w:bCs/>
          <w:i/>
          <w:iCs/>
          <w:sz w:val="28"/>
          <w:szCs w:val="28"/>
        </w:rPr>
      </w:pPr>
    </w:p>
    <w:p w14:paraId="5C7D98B2" w14:textId="77777777" w:rsidR="00A12B1A" w:rsidRPr="00183314" w:rsidRDefault="00A12B1A" w:rsidP="00A12B1A">
      <w:pPr>
        <w:tabs>
          <w:tab w:val="right" w:pos="9360"/>
        </w:tabs>
        <w:autoSpaceDE w:val="0"/>
        <w:autoSpaceDN w:val="0"/>
        <w:adjustRightInd w:val="0"/>
        <w:spacing w:after="0" w:line="240" w:lineRule="auto"/>
        <w:rPr>
          <w:rFonts w:ascii="Arial" w:hAnsi="Arial" w:cs="Arial"/>
          <w:b/>
          <w:bCs/>
          <w:i/>
          <w:iCs/>
          <w:sz w:val="16"/>
          <w:szCs w:val="16"/>
        </w:rPr>
      </w:pPr>
      <w:r w:rsidRPr="00183314">
        <w:rPr>
          <w:rFonts w:ascii="Arial" w:hAnsi="Arial" w:cs="Arial"/>
          <w:b/>
          <w:bCs/>
          <w:i/>
          <w:iCs/>
          <w:sz w:val="16"/>
          <w:szCs w:val="16"/>
        </w:rPr>
        <w:t>William P. Miller</w:t>
      </w:r>
      <w:r w:rsidRPr="00183314">
        <w:rPr>
          <w:rFonts w:ascii="Arial" w:hAnsi="Arial" w:cs="Arial"/>
          <w:b/>
          <w:bCs/>
          <w:i/>
          <w:iCs/>
          <w:sz w:val="16"/>
          <w:szCs w:val="16"/>
        </w:rPr>
        <w:tab/>
        <w:t>Telephone (336) 358-4170</w:t>
      </w:r>
    </w:p>
    <w:p w14:paraId="5957C8D8" w14:textId="77777777" w:rsidR="00A12B1A" w:rsidRPr="00183314" w:rsidRDefault="00A12B1A" w:rsidP="00A12B1A">
      <w:pPr>
        <w:tabs>
          <w:tab w:val="right" w:pos="9360"/>
        </w:tabs>
        <w:autoSpaceDE w:val="0"/>
        <w:autoSpaceDN w:val="0"/>
        <w:adjustRightInd w:val="0"/>
        <w:spacing w:after="0" w:line="240" w:lineRule="auto"/>
        <w:rPr>
          <w:rFonts w:ascii="Arial" w:hAnsi="Arial" w:cs="Arial"/>
          <w:sz w:val="24"/>
          <w:szCs w:val="24"/>
        </w:rPr>
      </w:pPr>
      <w:r w:rsidRPr="00183314">
        <w:rPr>
          <w:rFonts w:ascii="Arial" w:hAnsi="Arial" w:cs="Arial"/>
          <w:b/>
          <w:bCs/>
          <w:i/>
          <w:iCs/>
          <w:sz w:val="16"/>
          <w:szCs w:val="16"/>
        </w:rPr>
        <w:t>Bankruptcy Administrator</w:t>
      </w:r>
      <w:r w:rsidRPr="00183314">
        <w:rPr>
          <w:rFonts w:ascii="Arial" w:hAnsi="Arial" w:cs="Arial"/>
          <w:b/>
          <w:bCs/>
          <w:i/>
          <w:iCs/>
          <w:sz w:val="16"/>
          <w:szCs w:val="16"/>
        </w:rPr>
        <w:tab/>
        <w:t>Facsimile (336) 358-4185</w:t>
      </w:r>
    </w:p>
    <w:p w14:paraId="17C0DAB1" w14:textId="77777777" w:rsidR="00A12B1A" w:rsidRPr="00183314" w:rsidRDefault="00A12B1A" w:rsidP="00A12B1A">
      <w:pPr>
        <w:autoSpaceDE w:val="0"/>
        <w:autoSpaceDN w:val="0"/>
        <w:adjustRightInd w:val="0"/>
        <w:spacing w:after="0" w:line="240" w:lineRule="auto"/>
        <w:jc w:val="center"/>
        <w:rPr>
          <w:rFonts w:ascii="Arial" w:hAnsi="Arial" w:cs="Arial"/>
          <w:sz w:val="24"/>
          <w:szCs w:val="24"/>
        </w:rPr>
      </w:pPr>
    </w:p>
    <w:p w14:paraId="54B7435E" w14:textId="708D11DA" w:rsidR="000E5F87" w:rsidRPr="000E5F87" w:rsidRDefault="000E5F87" w:rsidP="000E5F87">
      <w:pPr>
        <w:jc w:val="center"/>
        <w:rPr>
          <w:rFonts w:cstheme="minorHAnsi"/>
        </w:rPr>
      </w:pPr>
      <w:r w:rsidRPr="000E5F87">
        <w:rPr>
          <w:rFonts w:cstheme="minorHAnsi"/>
        </w:rPr>
        <w:t>July 6, 2021</w:t>
      </w:r>
    </w:p>
    <w:p w14:paraId="15A05FB7" w14:textId="77777777" w:rsidR="000E5F87" w:rsidRPr="000E5F87" w:rsidRDefault="000E5F87" w:rsidP="000E5F87">
      <w:pPr>
        <w:spacing w:after="0"/>
        <w:jc w:val="center"/>
        <w:rPr>
          <w:rFonts w:cstheme="minorHAnsi"/>
          <w:sz w:val="16"/>
          <w:szCs w:val="16"/>
        </w:rPr>
      </w:pPr>
    </w:p>
    <w:p w14:paraId="4484BEE8" w14:textId="77777777" w:rsidR="000E5F87" w:rsidRPr="000E5F87" w:rsidRDefault="000E5F87" w:rsidP="000E5F87">
      <w:pPr>
        <w:jc w:val="center"/>
        <w:rPr>
          <w:rFonts w:cstheme="minorHAnsi"/>
          <w:sz w:val="28"/>
          <w:szCs w:val="28"/>
        </w:rPr>
      </w:pPr>
      <w:r w:rsidRPr="000E5F87">
        <w:rPr>
          <w:rFonts w:cstheme="minorHAnsi"/>
          <w:sz w:val="28"/>
          <w:szCs w:val="28"/>
        </w:rPr>
        <w:t xml:space="preserve">ANNOUNCEMENT </w:t>
      </w:r>
    </w:p>
    <w:p w14:paraId="339C9270" w14:textId="77777777" w:rsidR="000E5F87" w:rsidRPr="000E5F87" w:rsidRDefault="000E5F87" w:rsidP="000E5F87">
      <w:pPr>
        <w:jc w:val="center"/>
        <w:rPr>
          <w:rFonts w:cstheme="minorHAnsi"/>
          <w:sz w:val="24"/>
          <w:szCs w:val="24"/>
        </w:rPr>
      </w:pPr>
      <w:r w:rsidRPr="000E5F87">
        <w:rPr>
          <w:rFonts w:cstheme="minorHAnsi"/>
          <w:sz w:val="24"/>
          <w:szCs w:val="24"/>
        </w:rPr>
        <w:t>Chapters 7 Section 341 Meetings of Creditors:  Temporary Policies and Procedures</w:t>
      </w:r>
    </w:p>
    <w:p w14:paraId="18AAA975" w14:textId="77777777" w:rsidR="000E5F87" w:rsidRPr="000E5F87" w:rsidRDefault="000E5F87" w:rsidP="000E5F87">
      <w:pPr>
        <w:rPr>
          <w:rFonts w:cstheme="minorHAnsi"/>
        </w:rPr>
      </w:pPr>
      <w:r w:rsidRPr="000E5F87">
        <w:rPr>
          <w:rFonts w:cstheme="minorHAnsi"/>
        </w:rPr>
        <w:tab/>
        <w:t>Take Notice that all Chapter 7 Section 341 Meetings of Creditors first scheduled after July 1, 2021 will be held in person in the divisional 341 Meeting Rooms.  In order to take precautions against COVID-19, and to comply with applicable court orders, the U.S. Bankruptcy Administrator (“BA”) is implementing the following temporary policies and procedures with respect to all Chapter 7 Section 341 Meetings of Creditors, which policies and procedures will take effect immediately, and replace all previous policies.</w:t>
      </w:r>
    </w:p>
    <w:p w14:paraId="6633AE04" w14:textId="77777777" w:rsidR="000E5F87" w:rsidRPr="000E5F87" w:rsidRDefault="000E5F87" w:rsidP="000E5F87">
      <w:pPr>
        <w:rPr>
          <w:rFonts w:cstheme="minorHAnsi"/>
        </w:rPr>
      </w:pPr>
      <w:r w:rsidRPr="000E5F87">
        <w:rPr>
          <w:rFonts w:cstheme="minorHAnsi"/>
        </w:rPr>
        <w:tab/>
        <w:t xml:space="preserve">Any persons </w:t>
      </w:r>
      <w:r w:rsidRPr="000E5F87">
        <w:rPr>
          <w:rFonts w:cstheme="minorHAnsi"/>
          <w:u w:val="single"/>
        </w:rPr>
        <w:t>fully vaccinated</w:t>
      </w:r>
      <w:r w:rsidRPr="000E5F87">
        <w:rPr>
          <w:rFonts w:cstheme="minorHAnsi"/>
        </w:rPr>
        <w:t xml:space="preserve"> against COVID-19 need not wear a face covering, although they may at their discretion. Any persons </w:t>
      </w:r>
      <w:r w:rsidRPr="000E5F87">
        <w:rPr>
          <w:rFonts w:cstheme="minorHAnsi"/>
          <w:u w:val="single"/>
        </w:rPr>
        <w:t>not fully vaccinated</w:t>
      </w:r>
      <w:r w:rsidRPr="000E5F87">
        <w:rPr>
          <w:rFonts w:cstheme="minorHAnsi"/>
        </w:rPr>
        <w:t xml:space="preserve"> must wear a face covering at all times.  Face coverings will be available to participants. All persons should also observe social distancing and hand cleansing guidance. </w:t>
      </w:r>
    </w:p>
    <w:p w14:paraId="67A7B85A" w14:textId="44ED4BB4" w:rsidR="000E5F87" w:rsidRPr="000E5F87" w:rsidRDefault="000E5F87" w:rsidP="000E5F87">
      <w:pPr>
        <w:rPr>
          <w:rFonts w:cstheme="minorHAnsi"/>
        </w:rPr>
      </w:pPr>
      <w:r w:rsidRPr="000E5F87">
        <w:rPr>
          <w:rFonts w:cstheme="minorHAnsi"/>
        </w:rPr>
        <w:tab/>
        <w:t xml:space="preserve">Anyone diagnosed with COVID-19 in the past 14 days, under quarantine, or displaying any current symptoms should not appear for the meeting and should request a continuance. Anyone not fully vaccinated who has traveled outside the United States or who has been exposed to COVID-19 within the last 14 days should not appear for the meeting and should request a continuance.  In certain cases, under existing procedures, alternative procedures for the meeting may be implemented. </w:t>
      </w:r>
    </w:p>
    <w:p w14:paraId="285839ED" w14:textId="07B34F30" w:rsidR="000E5F87" w:rsidRPr="000E5F87" w:rsidRDefault="000E5F87" w:rsidP="000E5F87">
      <w:pPr>
        <w:rPr>
          <w:rFonts w:cstheme="minorHAnsi"/>
        </w:rPr>
      </w:pPr>
      <w:r w:rsidRPr="000E5F87">
        <w:rPr>
          <w:rFonts w:cstheme="minorHAnsi"/>
        </w:rPr>
        <w:tab/>
        <w:t xml:space="preserve">To minimize problems, in the Greensboro and Winston-Salem divisions (but not in Durham), we are dividing the calendar by Trustee, and requesting that participants not enter the courthouse until immediately before the scheduled time for their case.  Persons who enter the 341-meeting room more than 15 minutes before their scheduled session will be asked to leave and return when scheduled.  Counsel are expected to inform their clients of the schedule, which will be printed on the final calendar.  </w:t>
      </w:r>
    </w:p>
    <w:p w14:paraId="5BB2FBC8" w14:textId="77777777" w:rsidR="000E5F87" w:rsidRPr="000E5F87" w:rsidRDefault="000E5F87" w:rsidP="000E5F87">
      <w:pPr>
        <w:rPr>
          <w:rFonts w:cstheme="minorHAnsi"/>
        </w:rPr>
      </w:pPr>
      <w:r w:rsidRPr="000E5F87">
        <w:rPr>
          <w:rFonts w:cstheme="minorHAnsi"/>
        </w:rPr>
        <w:tab/>
        <w:t xml:space="preserve">We are asking that Debtors do not bring supporting friends or family to the meetings in order to reduce contact. Between meeting sessions, BA staff will clean the meeting rooms. </w:t>
      </w:r>
    </w:p>
    <w:p w14:paraId="7C721AD1" w14:textId="77777777" w:rsidR="000E5F87" w:rsidRPr="000E5F87" w:rsidRDefault="000E5F87" w:rsidP="000E5F87">
      <w:pPr>
        <w:rPr>
          <w:rFonts w:cstheme="minorHAnsi"/>
        </w:rPr>
      </w:pPr>
      <w:r w:rsidRPr="000E5F87">
        <w:rPr>
          <w:rFonts w:cstheme="minorHAnsi"/>
        </w:rPr>
        <w:tab/>
        <w:t xml:space="preserve">Please remember that Debtors are to provide proof of identity and other requested documents at the meeting.  </w:t>
      </w:r>
    </w:p>
    <w:p w14:paraId="407BCB19" w14:textId="77777777" w:rsidR="000E5F87" w:rsidRPr="000E5F87" w:rsidRDefault="000E5F87" w:rsidP="000E5F87">
      <w:pPr>
        <w:rPr>
          <w:rFonts w:cstheme="minorHAnsi"/>
        </w:rPr>
      </w:pPr>
      <w:r w:rsidRPr="000E5F87">
        <w:rPr>
          <w:rFonts w:ascii="Century Schoolbook" w:hAnsi="Century Schoolbook"/>
        </w:rPr>
        <w:tab/>
      </w:r>
      <w:r w:rsidRPr="000E5F87">
        <w:rPr>
          <w:rFonts w:cstheme="minorHAnsi"/>
        </w:rPr>
        <w:t xml:space="preserve">Thank you for your patience and cooperation in implementing these procedures.  If you have any questions, please do not hesitate to contact the Bankruptcy Administrator’s Office. </w:t>
      </w:r>
    </w:p>
    <w:p w14:paraId="792EF819" w14:textId="36D8D9E4" w:rsidR="00EE222F" w:rsidRPr="000E5F87" w:rsidRDefault="000E5F87">
      <w:pPr>
        <w:rPr>
          <w:rFonts w:ascii="Century Schoolbook" w:hAnsi="Century Schoolbook"/>
        </w:rPr>
      </w:pPr>
      <w:r>
        <w:rPr>
          <w:rFonts w:ascii="Century Schoolbook" w:hAnsi="Century Schoolbook"/>
        </w:rPr>
        <w:tab/>
        <w:t xml:space="preserve"> </w:t>
      </w:r>
    </w:p>
    <w:sectPr w:rsidR="00EE222F" w:rsidRPr="000E5F87" w:rsidSect="0018331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1A"/>
    <w:rsid w:val="000E5F87"/>
    <w:rsid w:val="001344E7"/>
    <w:rsid w:val="004C6C32"/>
    <w:rsid w:val="00A12B1A"/>
    <w:rsid w:val="00EE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1F98"/>
  <w15:chartTrackingRefBased/>
  <w15:docId w15:val="{EB4CE68B-7BD7-4093-87AA-F23FDC7C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Farabee</dc:creator>
  <cp:keywords/>
  <dc:description/>
  <cp:lastModifiedBy>Nicole Farabee</cp:lastModifiedBy>
  <cp:revision>2</cp:revision>
  <dcterms:created xsi:type="dcterms:W3CDTF">2021-07-07T12:57:00Z</dcterms:created>
  <dcterms:modified xsi:type="dcterms:W3CDTF">2021-07-07T12:57:00Z</dcterms:modified>
</cp:coreProperties>
</file>